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精准</w:t>
      </w:r>
      <w:r>
        <w:rPr>
          <w:rFonts w:ascii="方正小标宋简体" w:eastAsia="方正小标宋简体"/>
          <w:sz w:val="44"/>
          <w:szCs w:val="44"/>
        </w:rPr>
        <w:t>施策力促增长</w:t>
      </w:r>
      <w:r>
        <w:rPr>
          <w:rFonts w:hint="eastAsia" w:ascii="方正小标宋简体" w:eastAsia="方正小标宋简体"/>
          <w:sz w:val="44"/>
          <w:szCs w:val="44"/>
        </w:rPr>
        <w:t xml:space="preserve">  经济运行总体平稳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，全州上下</w:t>
      </w:r>
      <w:r>
        <w:rPr>
          <w:rFonts w:hint="eastAsia" w:ascii="仿宋_GB2312" w:eastAsia="仿宋_GB2312"/>
          <w:sz w:val="32"/>
          <w:szCs w:val="32"/>
        </w:rPr>
        <w:t>认真</w:t>
      </w:r>
      <w:r>
        <w:rPr>
          <w:rFonts w:ascii="仿宋_GB2312" w:eastAsia="仿宋_GB2312"/>
          <w:sz w:val="32"/>
          <w:szCs w:val="32"/>
        </w:rPr>
        <w:t>贯彻落实新发展理念，</w:t>
      </w:r>
      <w:r>
        <w:rPr>
          <w:rFonts w:hint="eastAsia" w:ascii="仿宋_GB2312" w:eastAsia="仿宋_GB2312"/>
          <w:sz w:val="32"/>
          <w:szCs w:val="32"/>
        </w:rPr>
        <w:t>坚持稳中求进</w:t>
      </w:r>
      <w:r>
        <w:rPr>
          <w:rFonts w:ascii="仿宋_GB2312" w:eastAsia="仿宋_GB2312"/>
          <w:sz w:val="32"/>
          <w:szCs w:val="32"/>
        </w:rPr>
        <w:t>工作总基调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坚决担起统筹疫情</w:t>
      </w:r>
      <w:r>
        <w:rPr>
          <w:rFonts w:hint="eastAsia" w:ascii="仿宋_GB2312" w:eastAsia="仿宋_GB2312"/>
          <w:sz w:val="32"/>
          <w:szCs w:val="32"/>
        </w:rPr>
        <w:t>防控</w:t>
      </w:r>
      <w:r>
        <w:rPr>
          <w:rFonts w:ascii="仿宋_GB2312" w:eastAsia="仿宋_GB2312"/>
          <w:sz w:val="32"/>
          <w:szCs w:val="32"/>
        </w:rPr>
        <w:t>和经济发展的重大责任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复杂</w:t>
      </w:r>
      <w:r>
        <w:rPr>
          <w:rFonts w:ascii="仿宋_GB2312" w:eastAsia="仿宋_GB2312"/>
          <w:sz w:val="32"/>
          <w:szCs w:val="32"/>
        </w:rPr>
        <w:t>严峻的内外部环境和持续下行的</w:t>
      </w:r>
      <w:r>
        <w:rPr>
          <w:rFonts w:hint="eastAsia" w:ascii="仿宋_GB2312" w:eastAsia="仿宋_GB2312"/>
          <w:sz w:val="32"/>
          <w:szCs w:val="32"/>
        </w:rPr>
        <w:t>经济</w:t>
      </w:r>
      <w:r>
        <w:rPr>
          <w:rFonts w:ascii="仿宋_GB2312" w:eastAsia="仿宋_GB2312"/>
          <w:sz w:val="32"/>
          <w:szCs w:val="32"/>
        </w:rPr>
        <w:t>压力双重压力</w:t>
      </w:r>
      <w:r>
        <w:rPr>
          <w:rFonts w:hint="eastAsia" w:ascii="仿宋_GB2312" w:eastAsia="仿宋_GB2312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，全面落实稳经济一揽子政策措施，强化经济运行调度，扎实开展</w:t>
      </w:r>
      <w:r>
        <w:rPr>
          <w:rFonts w:hint="eastAsia" w:ascii="仿宋_GB2312" w:eastAsia="仿宋_GB2312"/>
          <w:sz w:val="32"/>
          <w:szCs w:val="32"/>
        </w:rPr>
        <w:t>“百日攻坚”行动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有效</w:t>
      </w:r>
      <w:r>
        <w:rPr>
          <w:rFonts w:ascii="仿宋_GB2312" w:eastAsia="仿宋_GB2312"/>
          <w:sz w:val="32"/>
          <w:szCs w:val="32"/>
        </w:rPr>
        <w:t>应对疫情多点散发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不利因素</w:t>
      </w:r>
      <w:r>
        <w:rPr>
          <w:rFonts w:hint="eastAsia" w:ascii="仿宋_GB2312" w:eastAsia="仿宋_GB2312"/>
          <w:sz w:val="32"/>
          <w:szCs w:val="32"/>
        </w:rPr>
        <w:t>影响，</w:t>
      </w:r>
      <w:r>
        <w:rPr>
          <w:rFonts w:ascii="仿宋_GB2312" w:eastAsia="仿宋_GB2312"/>
          <w:sz w:val="32"/>
          <w:szCs w:val="32"/>
        </w:rPr>
        <w:t>全州经济呈现</w:t>
      </w:r>
      <w:r>
        <w:rPr>
          <w:rFonts w:hint="eastAsia" w:ascii="仿宋_GB2312" w:eastAsia="仿宋_GB2312"/>
          <w:sz w:val="32"/>
          <w:szCs w:val="32"/>
        </w:rPr>
        <w:t>平稳</w:t>
      </w:r>
      <w:r>
        <w:rPr>
          <w:rFonts w:ascii="仿宋_GB2312" w:eastAsia="仿宋_GB2312"/>
          <w:sz w:val="32"/>
          <w:szCs w:val="32"/>
        </w:rPr>
        <w:t>增长的态势。</w:t>
      </w:r>
    </w:p>
    <w:p>
      <w:pPr>
        <w:pStyle w:val="9"/>
        <w:numPr>
          <w:ilvl w:val="0"/>
          <w:numId w:val="1"/>
        </w:numPr>
        <w:spacing w:line="576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</w:t>
      </w:r>
      <w:r>
        <w:rPr>
          <w:rFonts w:ascii="黑体" w:hAnsi="黑体" w:eastAsia="黑体"/>
          <w:sz w:val="32"/>
          <w:szCs w:val="32"/>
        </w:rPr>
        <w:t>运行</w:t>
      </w:r>
      <w:r>
        <w:rPr>
          <w:rFonts w:hint="eastAsia" w:ascii="黑体" w:hAnsi="黑体" w:eastAsia="黑体"/>
          <w:sz w:val="32"/>
          <w:szCs w:val="32"/>
        </w:rPr>
        <w:t>基本</w:t>
      </w:r>
      <w:r>
        <w:rPr>
          <w:rFonts w:ascii="黑体" w:hAnsi="黑体" w:eastAsia="黑体"/>
          <w:sz w:val="32"/>
          <w:szCs w:val="32"/>
        </w:rPr>
        <w:t>情况</w:t>
      </w: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根据地区生产总值统一核算，2</w:t>
      </w:r>
      <w:r>
        <w:rPr>
          <w:rFonts w:ascii="仿宋_GB2312" w:hAnsi="黑体" w:eastAsia="仿宋_GB2312"/>
          <w:sz w:val="32"/>
          <w:szCs w:val="32"/>
        </w:rPr>
        <w:t>022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ascii="仿宋_GB2312" w:hAnsi="黑体" w:eastAsia="仿宋_GB2312"/>
          <w:sz w:val="32"/>
          <w:szCs w:val="32"/>
        </w:rPr>
        <w:t>，全州完成地区生产总值200.27</w:t>
      </w:r>
      <w:r>
        <w:rPr>
          <w:rFonts w:hint="eastAsia" w:ascii="仿宋_GB2312" w:hAnsi="黑体" w:eastAsia="仿宋_GB2312"/>
          <w:sz w:val="32"/>
          <w:szCs w:val="32"/>
        </w:rPr>
        <w:t>亿元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按</w:t>
      </w:r>
      <w:r>
        <w:rPr>
          <w:rFonts w:ascii="仿宋_GB2312" w:hAnsi="黑体" w:eastAsia="仿宋_GB2312"/>
          <w:sz w:val="32"/>
          <w:szCs w:val="32"/>
        </w:rPr>
        <w:t>可比价格计算，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同比增长</w:t>
      </w:r>
      <w:r>
        <w:rPr>
          <w:rFonts w:ascii="仿宋_GB2312" w:hAnsi="宋体" w:eastAsia="仿宋_GB2312" w:cs="宋体"/>
          <w:kern w:val="0"/>
          <w:sz w:val="32"/>
          <w:szCs w:val="32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ascii="仿宋_GB2312" w:hAnsi="宋体" w:eastAsia="仿宋_GB2312" w:cs="宋体"/>
          <w:kern w:val="0"/>
          <w:sz w:val="32"/>
          <w:szCs w:val="32"/>
        </w:rPr>
        <w:t>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前三季度回落0.6个</w:t>
      </w:r>
      <w:r>
        <w:rPr>
          <w:rFonts w:ascii="仿宋_GB2312" w:hAnsi="宋体" w:eastAsia="仿宋_GB2312" w:cs="宋体"/>
          <w:kern w:val="0"/>
          <w:sz w:val="32"/>
          <w:szCs w:val="32"/>
        </w:rPr>
        <w:t>百分点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较同期回落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4.0个</w:t>
      </w:r>
      <w:r>
        <w:rPr>
          <w:rFonts w:ascii="仿宋_GB2312" w:hAnsi="宋体" w:eastAsia="仿宋_GB2312" w:cs="宋体"/>
          <w:kern w:val="0"/>
          <w:sz w:val="32"/>
          <w:szCs w:val="32"/>
        </w:rPr>
        <w:t>百分点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。分产业看，</w:t>
      </w:r>
      <w:r>
        <w:rPr>
          <w:rFonts w:hint="eastAsia" w:ascii="仿宋_GB2312" w:eastAsia="仿宋_GB2312"/>
          <w:sz w:val="32"/>
          <w:szCs w:val="32"/>
        </w:rPr>
        <w:t>第一产业增加值54.02亿元，增长</w:t>
      </w:r>
      <w:r>
        <w:rPr>
          <w:rFonts w:ascii="仿宋_GB2312" w:eastAsia="仿宋_GB2312"/>
          <w:sz w:val="32"/>
          <w:szCs w:val="32"/>
        </w:rPr>
        <w:t>4.4</w:t>
      </w:r>
      <w:r>
        <w:rPr>
          <w:rFonts w:hint="eastAsia" w:ascii="仿宋_GB2312" w:eastAsia="仿宋_GB2312"/>
          <w:sz w:val="32"/>
          <w:szCs w:val="32"/>
        </w:rPr>
        <w:t>%；第二产业增加值</w:t>
      </w:r>
      <w:r>
        <w:rPr>
          <w:rFonts w:ascii="仿宋_GB2312" w:eastAsia="仿宋_GB2312"/>
          <w:sz w:val="32"/>
          <w:szCs w:val="32"/>
        </w:rPr>
        <w:t>85.04</w:t>
      </w:r>
      <w:r>
        <w:rPr>
          <w:rFonts w:hint="eastAsia" w:ascii="仿宋_GB2312" w:eastAsia="仿宋_GB2312"/>
          <w:sz w:val="32"/>
          <w:szCs w:val="32"/>
        </w:rPr>
        <w:t>亿元，下降</w:t>
      </w:r>
      <w:r>
        <w:rPr>
          <w:rFonts w:ascii="仿宋_GB2312" w:eastAsia="仿宋_GB2312"/>
          <w:sz w:val="32"/>
          <w:szCs w:val="32"/>
        </w:rPr>
        <w:t>2.1</w:t>
      </w:r>
      <w:r>
        <w:rPr>
          <w:rFonts w:hint="eastAsia" w:ascii="仿宋_GB2312" w:eastAsia="仿宋_GB2312"/>
          <w:sz w:val="32"/>
          <w:szCs w:val="32"/>
        </w:rPr>
        <w:t>%；第三产业增加值</w:t>
      </w:r>
      <w:r>
        <w:rPr>
          <w:rFonts w:ascii="仿宋_GB2312" w:eastAsia="仿宋_GB2312"/>
          <w:sz w:val="32"/>
          <w:szCs w:val="32"/>
        </w:rPr>
        <w:t>61.21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0.4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shd w:val="clear" w:color="auto" w:fill="FFFFFF"/>
        <w:spacing w:line="576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5253990" cy="2118995"/>
            <wp:effectExtent l="0" t="0" r="0" b="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（一）农牧业</w:t>
      </w:r>
      <w:r>
        <w:rPr>
          <w:rFonts w:hint="eastAsia" w:ascii="楷体_GB2312" w:hAnsi="Times New Roman" w:eastAsia="楷体_GB2312"/>
          <w:b/>
          <w:bCs/>
          <w:sz w:val="32"/>
          <w:szCs w:val="32"/>
        </w:rPr>
        <w:t>生产运行平稳。</w:t>
      </w:r>
      <w:r>
        <w:rPr>
          <w:rFonts w:hint="eastAsia" w:ascii="仿宋_GB2312" w:hAnsi="Times New Roman" w:eastAsia="仿宋_GB2312"/>
          <w:sz w:val="32"/>
          <w:szCs w:val="32"/>
        </w:rPr>
        <w:t>今年以来，全州农牧业</w:t>
      </w:r>
      <w:r>
        <w:rPr>
          <w:rFonts w:ascii="仿宋_GB2312" w:hAnsi="Times New Roman" w:eastAsia="仿宋_GB2312"/>
          <w:sz w:val="32"/>
          <w:szCs w:val="32"/>
        </w:rPr>
        <w:t>紧紧围绕打造全省绿色有机农畜产品输出地先行示范区建设，积极组织实施乡村振兴“</w:t>
      </w:r>
      <w:r>
        <w:rPr>
          <w:rFonts w:hint="eastAsia" w:ascii="仿宋_GB2312" w:hAnsi="Times New Roman" w:eastAsia="仿宋_GB2312"/>
          <w:sz w:val="32"/>
          <w:szCs w:val="32"/>
        </w:rPr>
        <w:t>八大行动</w:t>
      </w:r>
      <w:r>
        <w:rPr>
          <w:rFonts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有效应对局部干旱洪涝灾害影响，使农牧业经济保持了平稳态势。</w:t>
      </w:r>
      <w:r>
        <w:rPr>
          <w:rFonts w:hint="eastAsia" w:ascii="仿宋_GB2312" w:hAnsi="Times New Roman" w:eastAsia="仿宋_GB2312"/>
          <w:sz w:val="32"/>
          <w:szCs w:val="32"/>
        </w:rPr>
        <w:t>全州实现农林牧渔业增加值</w:t>
      </w:r>
      <w:r>
        <w:rPr>
          <w:rFonts w:ascii="仿宋_GB2312" w:hAnsi="Times New Roman" w:eastAsia="仿宋_GB2312"/>
          <w:sz w:val="32"/>
          <w:szCs w:val="32"/>
        </w:rPr>
        <w:t>54.72</w:t>
      </w:r>
      <w:r>
        <w:rPr>
          <w:rFonts w:hint="eastAsia" w:ascii="仿宋_GB2312" w:hAnsi="Times New Roman" w:eastAsia="仿宋_GB2312"/>
          <w:sz w:val="32"/>
          <w:szCs w:val="32"/>
        </w:rPr>
        <w:t>亿元，同比增长</w:t>
      </w:r>
      <w:r>
        <w:rPr>
          <w:rFonts w:ascii="仿宋_GB2312" w:hAnsi="Times New Roman" w:eastAsia="仿宋_GB2312"/>
          <w:sz w:val="32"/>
          <w:szCs w:val="32"/>
        </w:rPr>
        <w:t>4.3</w:t>
      </w:r>
      <w:r>
        <w:rPr>
          <w:rFonts w:hint="eastAsia" w:ascii="仿宋_GB2312" w:hAnsi="Times New Roman" w:eastAsia="仿宋_GB2312"/>
          <w:sz w:val="32"/>
          <w:szCs w:val="32"/>
        </w:rPr>
        <w:t>%，较前三季度回落0.1个百分点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ind w:firstLine="420" w:firstLineChars="200"/>
        <w:rPr>
          <w:rFonts w:ascii="仿宋_GB2312" w:hAnsi="Times New Roman" w:eastAsia="仿宋_GB2312"/>
          <w:sz w:val="32"/>
          <w:szCs w:val="32"/>
        </w:rPr>
      </w:pPr>
      <w:r>
        <w:drawing>
          <wp:inline distT="0" distB="0" distL="0" distR="0">
            <wp:extent cx="5010150" cy="234696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一是</w:t>
      </w:r>
      <w:r>
        <w:rPr>
          <w:rFonts w:hint="eastAsia" w:ascii="仿宋_GB2312" w:hAnsi="Times New Roman" w:eastAsia="仿宋_GB2312"/>
          <w:b/>
          <w:sz w:val="32"/>
          <w:szCs w:val="32"/>
        </w:rPr>
        <w:t>种植</w:t>
      </w:r>
      <w:r>
        <w:rPr>
          <w:rFonts w:ascii="仿宋_GB2312" w:hAnsi="Times New Roman" w:eastAsia="仿宋_GB2312"/>
          <w:b/>
          <w:sz w:val="32"/>
          <w:szCs w:val="32"/>
        </w:rPr>
        <w:t>面积平稳增长</w:t>
      </w:r>
      <w:r>
        <w:rPr>
          <w:rFonts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全州粮食作物播种</w:t>
      </w:r>
      <w:r>
        <w:rPr>
          <w:rFonts w:ascii="仿宋_GB2312" w:hAnsi="Times New Roman" w:eastAsia="仿宋_GB2312"/>
          <w:sz w:val="32"/>
          <w:szCs w:val="32"/>
        </w:rPr>
        <w:t>81.88</w:t>
      </w:r>
      <w:r>
        <w:rPr>
          <w:rFonts w:hint="eastAsia" w:ascii="仿宋_GB2312" w:hAnsi="Times New Roman" w:eastAsia="仿宋_GB2312"/>
          <w:sz w:val="32"/>
          <w:szCs w:val="32"/>
        </w:rPr>
        <w:t>万亩，同比增长</w:t>
      </w:r>
      <w:r>
        <w:rPr>
          <w:rFonts w:ascii="仿宋_GB2312" w:hAnsi="Times New Roman" w:eastAsia="仿宋_GB2312"/>
          <w:sz w:val="32"/>
          <w:szCs w:val="32"/>
        </w:rPr>
        <w:t>0.55</w:t>
      </w:r>
      <w:r>
        <w:rPr>
          <w:rFonts w:hint="eastAsia" w:ascii="仿宋_GB2312" w:hAnsi="Times New Roman" w:eastAsia="仿宋_GB2312"/>
          <w:sz w:val="32"/>
          <w:szCs w:val="32"/>
        </w:rPr>
        <w:t>%；油料作物播种</w:t>
      </w:r>
      <w:r>
        <w:rPr>
          <w:rFonts w:ascii="仿宋_GB2312" w:hAnsi="Times New Roman" w:eastAsia="仿宋_GB2312"/>
          <w:sz w:val="32"/>
          <w:szCs w:val="32"/>
        </w:rPr>
        <w:t>36.2</w:t>
      </w:r>
      <w:r>
        <w:rPr>
          <w:rFonts w:hint="eastAsia" w:ascii="仿宋_GB2312" w:hAnsi="Times New Roman" w:eastAsia="仿宋_GB2312"/>
          <w:sz w:val="32"/>
          <w:szCs w:val="32"/>
        </w:rPr>
        <w:t>万亩，增长2.1%；蔬菜种植</w:t>
      </w:r>
      <w:r>
        <w:rPr>
          <w:rFonts w:ascii="仿宋_GB2312" w:hAnsi="Times New Roman" w:eastAsia="仿宋_GB2312"/>
          <w:sz w:val="32"/>
          <w:szCs w:val="32"/>
        </w:rPr>
        <w:t>5.45</w:t>
      </w:r>
      <w:r>
        <w:rPr>
          <w:rFonts w:hint="eastAsia" w:ascii="仿宋_GB2312" w:hAnsi="Times New Roman" w:eastAsia="仿宋_GB2312"/>
          <w:sz w:val="32"/>
          <w:szCs w:val="32"/>
        </w:rPr>
        <w:t>万亩，增长</w:t>
      </w:r>
      <w:r>
        <w:rPr>
          <w:rFonts w:ascii="仿宋_GB2312" w:hAnsi="Times New Roman" w:eastAsia="仿宋_GB2312"/>
          <w:sz w:val="32"/>
          <w:szCs w:val="32"/>
        </w:rPr>
        <w:t>12.3</w:t>
      </w:r>
      <w:r>
        <w:rPr>
          <w:rFonts w:hint="eastAsia" w:ascii="仿宋_GB2312" w:hAnsi="Times New Roman" w:eastAsia="仿宋_GB2312"/>
          <w:sz w:val="32"/>
          <w:szCs w:val="32"/>
        </w:rPr>
        <w:t>%。</w:t>
      </w:r>
    </w:p>
    <w:p>
      <w:pPr>
        <w:ind w:firstLine="64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二是粮油</w:t>
      </w:r>
      <w:r>
        <w:rPr>
          <w:rFonts w:ascii="仿宋_GB2312" w:hAnsi="Times New Roman" w:eastAsia="仿宋_GB2312"/>
          <w:b/>
          <w:sz w:val="32"/>
          <w:szCs w:val="32"/>
        </w:rPr>
        <w:t>产量小幅下降</w:t>
      </w:r>
      <w:r>
        <w:rPr>
          <w:rFonts w:ascii="仿宋_GB2312" w:hAnsi="Times New Roman" w:eastAsia="仿宋_GB2312"/>
          <w:sz w:val="32"/>
          <w:szCs w:val="32"/>
        </w:rPr>
        <w:t>。由于大部分地区受</w:t>
      </w:r>
      <w:r>
        <w:rPr>
          <w:rFonts w:hint="eastAsia" w:ascii="仿宋_GB2312" w:hAnsi="Times New Roman" w:eastAsia="仿宋_GB2312"/>
          <w:sz w:val="32"/>
          <w:szCs w:val="32"/>
        </w:rPr>
        <w:t>洪涝和</w:t>
      </w:r>
      <w:r>
        <w:rPr>
          <w:rFonts w:ascii="仿宋_GB2312" w:hAnsi="Times New Roman" w:eastAsia="仿宋_GB2312"/>
          <w:sz w:val="32"/>
          <w:szCs w:val="32"/>
        </w:rPr>
        <w:t>霜冻灾害影响，产量较上年有所下降。全州</w:t>
      </w:r>
      <w:r>
        <w:rPr>
          <w:rFonts w:hint="eastAsia" w:ascii="仿宋_GB2312" w:hAnsi="Times New Roman" w:eastAsia="仿宋_GB2312"/>
          <w:sz w:val="32"/>
          <w:szCs w:val="32"/>
        </w:rPr>
        <w:t>粮食产量14.73万吨，</w:t>
      </w:r>
      <w:r>
        <w:rPr>
          <w:rFonts w:ascii="仿宋_GB2312" w:hAnsi="Times New Roman" w:eastAsia="仿宋_GB2312"/>
          <w:sz w:val="32"/>
          <w:szCs w:val="32"/>
        </w:rPr>
        <w:t>同比</w:t>
      </w:r>
      <w:r>
        <w:rPr>
          <w:rFonts w:hint="eastAsia" w:ascii="仿宋_GB2312" w:hAnsi="Times New Roman" w:eastAsia="仿宋_GB2312"/>
          <w:sz w:val="32"/>
          <w:szCs w:val="32"/>
        </w:rPr>
        <w:t>下降</w:t>
      </w:r>
      <w:r>
        <w:rPr>
          <w:rFonts w:ascii="仿宋_GB2312" w:hAnsi="Times New Roman" w:eastAsia="仿宋_GB2312"/>
          <w:sz w:val="32"/>
          <w:szCs w:val="32"/>
        </w:rPr>
        <w:t>1.3%</w:t>
      </w:r>
      <w:r>
        <w:rPr>
          <w:rFonts w:hint="eastAsia" w:ascii="仿宋_GB2312" w:hAnsi="Times New Roman" w:eastAsia="仿宋_GB2312"/>
          <w:sz w:val="32"/>
          <w:szCs w:val="32"/>
        </w:rPr>
        <w:t>；油料</w:t>
      </w:r>
      <w:r>
        <w:rPr>
          <w:rFonts w:ascii="仿宋_GB2312" w:hAnsi="Times New Roman" w:eastAsia="仿宋_GB2312"/>
          <w:sz w:val="32"/>
          <w:szCs w:val="32"/>
        </w:rPr>
        <w:t>作物</w:t>
      </w:r>
      <w:r>
        <w:rPr>
          <w:rFonts w:hint="eastAsia" w:ascii="仿宋_GB2312" w:hAnsi="Times New Roman" w:eastAsia="仿宋_GB2312"/>
          <w:sz w:val="32"/>
          <w:szCs w:val="32"/>
        </w:rPr>
        <w:t>3.5万吨，下降</w:t>
      </w:r>
      <w:r>
        <w:rPr>
          <w:rFonts w:ascii="仿宋_GB2312" w:hAnsi="Times New Roman" w:eastAsia="仿宋_GB2312"/>
          <w:sz w:val="32"/>
          <w:szCs w:val="32"/>
        </w:rPr>
        <w:t>16.8%</w:t>
      </w:r>
      <w:r>
        <w:rPr>
          <w:rFonts w:hint="eastAsia" w:ascii="仿宋_GB2312" w:hAnsi="Times New Roman" w:eastAsia="仿宋_GB2312"/>
          <w:sz w:val="32"/>
          <w:szCs w:val="32"/>
        </w:rPr>
        <w:t>；蔬菜</w:t>
      </w:r>
      <w:r>
        <w:rPr>
          <w:rFonts w:ascii="仿宋_GB2312" w:hAnsi="Times New Roman" w:eastAsia="仿宋_GB2312"/>
          <w:sz w:val="32"/>
          <w:szCs w:val="32"/>
        </w:rPr>
        <w:t>产量</w:t>
      </w:r>
      <w:r>
        <w:rPr>
          <w:rFonts w:hint="eastAsia" w:ascii="仿宋_GB2312" w:hAnsi="Times New Roman" w:eastAsia="仿宋_GB2312"/>
          <w:sz w:val="32"/>
          <w:szCs w:val="32"/>
        </w:rPr>
        <w:t>8.13万吨</w:t>
      </w:r>
      <w:r>
        <w:rPr>
          <w:rFonts w:ascii="仿宋_GB2312" w:hAnsi="Times New Roman" w:eastAsia="仿宋_GB2312"/>
          <w:sz w:val="32"/>
          <w:szCs w:val="32"/>
        </w:rPr>
        <w:t>，增长</w:t>
      </w:r>
      <w:r>
        <w:rPr>
          <w:rFonts w:hint="eastAsia" w:ascii="仿宋_GB2312" w:hAnsi="Times New Roman" w:eastAsia="仿宋_GB2312"/>
          <w:sz w:val="32"/>
          <w:szCs w:val="32"/>
        </w:rPr>
        <w:t>14.</w:t>
      </w:r>
      <w:r>
        <w:rPr>
          <w:rFonts w:ascii="仿宋_GB2312" w:hAnsi="Times New Roman" w:eastAsia="仿宋_GB2312"/>
          <w:sz w:val="32"/>
          <w:szCs w:val="32"/>
        </w:rPr>
        <w:t>2%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2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三是畜牧业生产基本</w:t>
      </w:r>
      <w:r>
        <w:rPr>
          <w:rFonts w:ascii="仿宋_GB2312" w:hAnsi="Times New Roman" w:eastAsia="仿宋_GB2312"/>
          <w:b/>
          <w:sz w:val="32"/>
          <w:szCs w:val="32"/>
        </w:rPr>
        <w:t>平稳。</w:t>
      </w:r>
      <w:r>
        <w:rPr>
          <w:rFonts w:hint="eastAsia" w:ascii="仿宋_GB2312" w:hAnsi="仿宋" w:eastAsia="仿宋_GB2312" w:cs="仿宋"/>
          <w:sz w:val="32"/>
          <w:szCs w:val="32"/>
        </w:rPr>
        <w:t>2022年末，全州存栏各类牲畜525.2万头（只），出栏各类牲畜240.3万头（只），出栏率为43.2%，同比下降1.4个百分点。</w:t>
      </w:r>
      <w:r>
        <w:rPr>
          <w:rFonts w:hint="eastAsia" w:ascii="仿宋_GB2312" w:hAnsi="Times New Roman" w:eastAsia="仿宋_GB2312"/>
          <w:sz w:val="32"/>
          <w:szCs w:val="32"/>
        </w:rPr>
        <w:t>肉类总产量</w:t>
      </w:r>
      <w:r>
        <w:rPr>
          <w:rFonts w:ascii="仿宋_GB2312" w:hAnsi="Times New Roman" w:eastAsia="仿宋_GB2312"/>
          <w:sz w:val="32"/>
          <w:szCs w:val="32"/>
        </w:rPr>
        <w:t>6.84</w:t>
      </w:r>
      <w:r>
        <w:rPr>
          <w:rFonts w:hint="eastAsia" w:ascii="仿宋_GB2312" w:hAnsi="Times New Roman" w:eastAsia="仿宋_GB2312"/>
          <w:sz w:val="32"/>
          <w:szCs w:val="32"/>
        </w:rPr>
        <w:t>万吨，下降</w:t>
      </w:r>
      <w:r>
        <w:rPr>
          <w:rFonts w:ascii="仿宋_GB2312" w:hAnsi="Times New Roman" w:eastAsia="仿宋_GB2312"/>
          <w:sz w:val="32"/>
          <w:szCs w:val="32"/>
        </w:rPr>
        <w:t>2.1</w:t>
      </w:r>
      <w:r>
        <w:rPr>
          <w:rFonts w:hint="eastAsia" w:ascii="仿宋_GB2312" w:hAnsi="Times New Roman" w:eastAsia="仿宋_GB2312"/>
          <w:sz w:val="32"/>
          <w:szCs w:val="32"/>
        </w:rPr>
        <w:t>%；</w:t>
      </w:r>
      <w:r>
        <w:rPr>
          <w:rFonts w:hint="eastAsia" w:ascii="仿宋_GB2312" w:hAnsi="仿宋" w:eastAsia="仿宋_GB2312" w:cs="仿宋"/>
          <w:sz w:val="32"/>
          <w:szCs w:val="32"/>
        </w:rPr>
        <w:t>生产禽蛋193吨，生奶4.08万吨。</w:t>
      </w:r>
    </w:p>
    <w:p>
      <w:pPr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（二）工业生产持续回落。</w:t>
      </w:r>
      <w:r>
        <w:rPr>
          <w:rFonts w:hint="eastAsia" w:ascii="仿宋_GB2312" w:eastAsia="仿宋_GB2312"/>
          <w:sz w:val="32"/>
          <w:szCs w:val="32"/>
        </w:rPr>
        <w:t>2022年，全州工业</w:t>
      </w:r>
      <w:r>
        <w:rPr>
          <w:rFonts w:ascii="仿宋_GB2312" w:eastAsia="仿宋_GB2312"/>
          <w:sz w:val="32"/>
          <w:szCs w:val="32"/>
        </w:rPr>
        <w:t>增加值同比</w:t>
      </w:r>
      <w:r>
        <w:rPr>
          <w:rFonts w:hint="eastAsia" w:ascii="仿宋_GB2312" w:eastAsia="仿宋_GB2312"/>
          <w:sz w:val="32"/>
          <w:szCs w:val="32"/>
        </w:rPr>
        <w:t>下降3.3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较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-9</w:t>
      </w:r>
      <w:r>
        <w:rPr>
          <w:rFonts w:hint="eastAsia" w:ascii="仿宋_GB2312" w:eastAsia="仿宋_GB2312"/>
          <w:sz w:val="32"/>
          <w:szCs w:val="32"/>
        </w:rPr>
        <w:t>月降幅</w:t>
      </w:r>
      <w:r>
        <w:rPr>
          <w:rFonts w:ascii="仿宋_GB2312" w:eastAsia="仿宋_GB2312"/>
          <w:sz w:val="32"/>
          <w:szCs w:val="32"/>
        </w:rPr>
        <w:t>收窄</w:t>
      </w:r>
      <w:r>
        <w:rPr>
          <w:rFonts w:hint="eastAsia" w:ascii="仿宋_GB2312" w:eastAsia="仿宋_GB2312"/>
          <w:sz w:val="32"/>
          <w:szCs w:val="32"/>
        </w:rPr>
        <w:t>0.4个</w:t>
      </w:r>
      <w:r>
        <w:rPr>
          <w:rFonts w:ascii="仿宋_GB2312" w:eastAsia="仿宋_GB2312"/>
          <w:sz w:val="32"/>
          <w:szCs w:val="32"/>
        </w:rPr>
        <w:t>百分点。</w:t>
      </w:r>
    </w:p>
    <w:p>
      <w:pPr>
        <w:ind w:firstLine="642" w:firstLineChars="200"/>
        <w:rPr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>从</w:t>
      </w:r>
      <w:r>
        <w:rPr>
          <w:rFonts w:ascii="仿宋_GB2312" w:eastAsia="仿宋_GB2312"/>
          <w:b/>
          <w:sz w:val="32"/>
          <w:szCs w:val="32"/>
        </w:rPr>
        <w:t>规模</w:t>
      </w:r>
      <w:r>
        <w:rPr>
          <w:rFonts w:hint="eastAsia" w:ascii="仿宋_GB2312" w:eastAsia="仿宋_GB2312"/>
          <w:b/>
          <w:sz w:val="32"/>
          <w:szCs w:val="32"/>
        </w:rPr>
        <w:t>看</w:t>
      </w:r>
      <w:r>
        <w:rPr>
          <w:rFonts w:ascii="仿宋_GB2312" w:eastAsia="仿宋_GB2312"/>
          <w:b/>
          <w:sz w:val="32"/>
          <w:szCs w:val="32"/>
        </w:rPr>
        <w:t>，规模以上工业降幅持续收窄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规模以上工业增加值同比下降4.0%，降幅</w:t>
      </w:r>
      <w:r>
        <w:rPr>
          <w:rFonts w:ascii="仿宋_GB2312" w:hAnsi="仿宋_GB2312" w:eastAsia="仿宋_GB2312" w:cs="仿宋_GB2312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1-8月份、1-9月份、1-10月份、1-11月份分别收窄8.2个、5.2个、1.5个、0.3个百分点，</w:t>
      </w:r>
      <w:r>
        <w:rPr>
          <w:rFonts w:ascii="仿宋_GB2312" w:hAnsi="仿宋_GB2312" w:eastAsia="仿宋_GB2312" w:cs="仿宋_GB2312"/>
          <w:sz w:val="32"/>
          <w:szCs w:val="32"/>
        </w:rPr>
        <w:t>增速较上年回落</w:t>
      </w:r>
      <w:r>
        <w:rPr>
          <w:rFonts w:hint="eastAsia" w:ascii="仿宋_GB2312" w:hAnsi="仿宋_GB2312" w:eastAsia="仿宋_GB2312" w:cs="仿宋_GB2312"/>
          <w:sz w:val="32"/>
          <w:szCs w:val="32"/>
        </w:rPr>
        <w:t>7.4个</w:t>
      </w:r>
      <w:r>
        <w:rPr>
          <w:rFonts w:ascii="仿宋_GB2312" w:hAnsi="仿宋_GB2312" w:eastAsia="仿宋_GB2312" w:cs="仿宋_GB2312"/>
          <w:sz w:val="32"/>
          <w:szCs w:val="32"/>
        </w:rPr>
        <w:t>百分点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。自8月份以来，随着</w:t>
      </w:r>
      <w:r>
        <w:rPr>
          <w:rFonts w:ascii="仿宋_GB2312" w:hAnsi="仿宋_GB2312" w:eastAsia="仿宋_GB2312" w:cs="仿宋_GB2312"/>
          <w:sz w:val="32"/>
          <w:szCs w:val="32"/>
        </w:rPr>
        <w:t>降幅持续收窄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，工业生产稳步回升。规模以下工业</w:t>
      </w:r>
      <w:r>
        <w:rPr>
          <w:rFonts w:ascii="仿宋_GB2312" w:hAnsi="仿宋_GB2312" w:eastAsia="仿宋_GB2312" w:cs="仿宋_GB2312"/>
          <w:sz w:val="32"/>
          <w:szCs w:val="32"/>
        </w:rPr>
        <w:t>增加值增长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2.1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1-9月</w:t>
      </w:r>
      <w:r>
        <w:rPr>
          <w:rFonts w:ascii="仿宋_GB2312" w:hAnsi="仿宋_GB2312" w:eastAsia="仿宋_GB2312" w:cs="仿宋_GB2312"/>
          <w:sz w:val="32"/>
          <w:szCs w:val="32"/>
        </w:rPr>
        <w:t>回落</w:t>
      </w:r>
      <w:r>
        <w:rPr>
          <w:rFonts w:hint="eastAsia" w:ascii="仿宋_GB2312" w:hAnsi="仿宋_GB2312" w:eastAsia="仿宋_GB2312" w:cs="仿宋_GB2312"/>
          <w:sz w:val="32"/>
          <w:szCs w:val="32"/>
        </w:rPr>
        <w:t>4.2个</w:t>
      </w:r>
      <w:r>
        <w:rPr>
          <w:rFonts w:ascii="仿宋_GB2312" w:hAnsi="仿宋_GB2312" w:eastAsia="仿宋_GB2312" w:cs="仿宋_GB2312"/>
          <w:sz w:val="32"/>
          <w:szCs w:val="32"/>
        </w:rPr>
        <w:t>百分点。</w: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4851400" cy="2408555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从门类看，制造业始终</w:t>
      </w:r>
      <w:r>
        <w:rPr>
          <w:rFonts w:ascii="仿宋_GB2312" w:hAnsi="仿宋_GB2312" w:eastAsia="仿宋_GB2312" w:cs="仿宋_GB2312"/>
          <w:b/>
          <w:sz w:val="32"/>
          <w:szCs w:val="32"/>
        </w:rPr>
        <w:t>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两位数增长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规模以上制造业增加值同比增长11.0%，拉动全州工业增加值增长0.5个百分点。增速较1</w:t>
      </w:r>
      <w:r>
        <w:rPr>
          <w:rFonts w:ascii="仿宋_GB2312" w:hAnsi="仿宋_GB2312" w:eastAsia="仿宋_GB2312" w:cs="仿宋_GB2312"/>
          <w:sz w:val="32"/>
          <w:szCs w:val="32"/>
        </w:rPr>
        <w:t>-3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月、1</w:t>
      </w:r>
      <w:r>
        <w:rPr>
          <w:rFonts w:ascii="仿宋_GB2312" w:hAnsi="仿宋_GB2312" w:eastAsia="仿宋_GB2312" w:cs="仿宋_GB2312"/>
          <w:sz w:val="32"/>
          <w:szCs w:val="32"/>
        </w:rPr>
        <w:t>-6</w:t>
      </w:r>
      <w:r>
        <w:rPr>
          <w:rFonts w:hint="eastAsia" w:ascii="仿宋_GB2312" w:hAnsi="仿宋_GB2312" w:eastAsia="仿宋_GB2312" w:cs="仿宋_GB2312"/>
          <w:sz w:val="32"/>
          <w:szCs w:val="32"/>
        </w:rPr>
        <w:t>月、1</w:t>
      </w:r>
      <w:r>
        <w:rPr>
          <w:rFonts w:ascii="仿宋_GB2312" w:hAnsi="仿宋_GB2312" w:eastAsia="仿宋_GB2312" w:cs="仿宋_GB2312"/>
          <w:sz w:val="32"/>
          <w:szCs w:val="32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回落21.8个、9.3个、1.3个百分点。规模以上电力、热力、燃气及水生产和供应业增加值下降4.7%，增速较1-3月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1-6月分别回落10.0个、2.0个百分点，较1</w:t>
      </w:r>
      <w:r>
        <w:rPr>
          <w:rFonts w:ascii="仿宋_GB2312" w:hAnsi="仿宋_GB2312" w:eastAsia="仿宋_GB2312" w:cs="仿宋_GB2312"/>
          <w:sz w:val="32"/>
          <w:szCs w:val="32"/>
        </w:rPr>
        <w:t>-9</w:t>
      </w:r>
      <w:r>
        <w:rPr>
          <w:rFonts w:hint="eastAsia" w:ascii="仿宋_GB2312" w:hAnsi="仿宋_GB2312" w:eastAsia="仿宋_GB2312" w:cs="仿宋_GB2312"/>
          <w:sz w:val="32"/>
          <w:szCs w:val="32"/>
        </w:rPr>
        <w:t>月提高0.4个百分点。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从隶属关系看，州属工业拉动明显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。2022年，州属工业增加值同比增长18.8%，占全州工业增加值的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.7%，拉动全州工业增加值增长4.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个百分点。省属工业增加值同比下降11.4%，占全州工业增加值的59.3%，影响全州工业增加值增长7.6个百分点。</w:t>
      </w:r>
    </w:p>
    <w:p>
      <w:pPr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从发电类型看，新能源</w:t>
      </w:r>
      <w:r>
        <w:rPr>
          <w:rFonts w:ascii="仿宋_GB2312" w:hAnsi="仿宋_GB2312" w:eastAsia="仿宋_GB2312" w:cs="仿宋_GB2312"/>
          <w:b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增势向好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全州规模以上电力</w:t>
      </w:r>
      <w:r>
        <w:rPr>
          <w:rFonts w:ascii="仿宋_GB2312" w:hAnsi="仿宋_GB2312" w:eastAsia="仿宋_GB2312" w:cs="仿宋_GB2312"/>
          <w:sz w:val="32"/>
          <w:szCs w:val="32"/>
        </w:rPr>
        <w:t>生产行业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值同比下降4.7%，影响全州工业增长3.9个百分点。其中，水力发电行业增加值同比下降22.1%，影响全州工业增加值增长12.1个百分点；光伏发电行业增加值增长35.1%，拉动全州工业增加值增长7.0个百分点；风力发电行业增加值增长14.5%，拉动全州工业增加值增长1.2个百分点。</w:t>
      </w:r>
    </w:p>
    <w:p>
      <w:pPr>
        <w:spacing w:line="576" w:lineRule="exact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（三）固定资产投资降幅扩大。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全州完成固定资产</w:t>
      </w:r>
      <w:r>
        <w:rPr>
          <w:rFonts w:hint="eastAsia" w:ascii="仿宋_GB2312" w:hAnsi="仿宋" w:eastAsia="仿宋_GB2312"/>
          <w:sz w:val="32"/>
          <w:szCs w:val="32"/>
        </w:rPr>
        <w:t>投资210.3亿元，同比下降10.3%，降幅</w:t>
      </w:r>
      <w:r>
        <w:rPr>
          <w:rFonts w:ascii="仿宋_GB2312" w:hAnsi="仿宋" w:eastAsia="仿宋_GB2312"/>
          <w:sz w:val="32"/>
          <w:szCs w:val="32"/>
        </w:rPr>
        <w:t>较</w:t>
      </w:r>
      <w:r>
        <w:rPr>
          <w:rFonts w:hint="eastAsia" w:ascii="仿宋_GB2312" w:hAnsi="仿宋" w:eastAsia="仿宋_GB2312"/>
          <w:sz w:val="32"/>
          <w:szCs w:val="32"/>
        </w:rPr>
        <w:t>前三季度扩大</w:t>
      </w:r>
      <w:r>
        <w:rPr>
          <w:rFonts w:ascii="仿宋_GB2312" w:hAnsi="仿宋" w:eastAsia="仿宋_GB2312"/>
          <w:sz w:val="32"/>
          <w:szCs w:val="32"/>
        </w:rPr>
        <w:t>12.3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百分点。</w:t>
      </w:r>
    </w:p>
    <w:p>
      <w:pPr>
        <w:spacing w:line="576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5080</wp:posOffset>
            </wp:positionV>
            <wp:extent cx="5097145" cy="2299335"/>
            <wp:effectExtent l="0" t="0" r="0" b="0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投资结构持续优化。</w:t>
      </w:r>
      <w:r>
        <w:rPr>
          <w:rFonts w:hint="eastAsia" w:ascii="仿宋_GB2312" w:hAnsi="仿宋" w:eastAsia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三次</w:t>
      </w:r>
      <w:r>
        <w:rPr>
          <w:rFonts w:ascii="仿宋_GB2312" w:hAnsi="仿宋_GB2312" w:eastAsia="仿宋_GB2312" w:cs="仿宋_GB2312"/>
          <w:bCs/>
          <w:sz w:val="32"/>
          <w:szCs w:val="32"/>
        </w:rPr>
        <w:t>产业投资占比为</w:t>
      </w:r>
      <w:r>
        <w:rPr>
          <w:rFonts w:hint="eastAsia" w:ascii="仿宋_GB2312" w:hAnsi="仿宋" w:eastAsia="仿宋_GB2312"/>
          <w:sz w:val="32"/>
          <w:szCs w:val="32"/>
        </w:rPr>
        <w:t>4:7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:21，</w:t>
      </w:r>
      <w:r>
        <w:rPr>
          <w:rFonts w:ascii="仿宋_GB2312" w:hAnsi="仿宋" w:eastAsia="仿宋_GB2312"/>
          <w:sz w:val="32"/>
          <w:szCs w:val="32"/>
        </w:rPr>
        <w:t>与上年相比，</w:t>
      </w:r>
      <w:r>
        <w:rPr>
          <w:rFonts w:hint="eastAsia" w:ascii="仿宋_GB2312" w:hAnsi="仿宋" w:eastAsia="仿宋_GB2312"/>
          <w:sz w:val="32"/>
          <w:szCs w:val="32"/>
        </w:rPr>
        <w:t>一、三产业投资比重分别提高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和6个百分点，二产占比降低</w:t>
      </w: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个百分点，投资对二产依赖度</w:t>
      </w:r>
      <w:r>
        <w:rPr>
          <w:rFonts w:ascii="仿宋_GB2312" w:hAnsi="仿宋" w:eastAsia="仿宋_GB2312"/>
          <w:sz w:val="32"/>
          <w:szCs w:val="32"/>
        </w:rPr>
        <w:t>过高的</w:t>
      </w:r>
      <w:r>
        <w:rPr>
          <w:rFonts w:hint="eastAsia" w:ascii="仿宋_GB2312" w:hAnsi="仿宋" w:eastAsia="仿宋_GB2312"/>
          <w:sz w:val="32"/>
          <w:szCs w:val="32"/>
        </w:rPr>
        <w:t>局面将</w:t>
      </w:r>
      <w:r>
        <w:rPr>
          <w:rFonts w:ascii="仿宋_GB2312" w:hAnsi="仿宋" w:eastAsia="仿宋_GB2312"/>
          <w:sz w:val="32"/>
          <w:szCs w:val="32"/>
        </w:rPr>
        <w:t>有望得到</w:t>
      </w:r>
      <w:r>
        <w:rPr>
          <w:rFonts w:hint="eastAsia" w:ascii="仿宋_GB2312" w:hAnsi="仿宋" w:eastAsia="仿宋_GB2312"/>
          <w:sz w:val="32"/>
          <w:szCs w:val="32"/>
        </w:rPr>
        <w:t>改善。</w:t>
      </w:r>
    </w:p>
    <w:p>
      <w:pPr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二是民间投资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不断壮大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2022年，全州国有资本完成投资占固定资产投资的75.8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%，占比较上年下降1.4个百分点；民间资本完成投资占固定资产投资的</w:t>
      </w:r>
      <w:r>
        <w:rPr>
          <w:rFonts w:ascii="仿宋_GB2312" w:hAnsi="仿宋" w:eastAsia="仿宋_GB2312"/>
          <w:sz w:val="32"/>
          <w:szCs w:val="32"/>
        </w:rPr>
        <w:t>24.03</w:t>
      </w:r>
      <w:r>
        <w:rPr>
          <w:rFonts w:hint="eastAsia" w:ascii="仿宋_GB2312" w:hAnsi="仿宋" w:eastAsia="仿宋_GB2312"/>
          <w:sz w:val="32"/>
          <w:szCs w:val="32"/>
        </w:rPr>
        <w:t>%，占比较上年提高4.0个百分点；港澳台资本</w:t>
      </w:r>
      <w:r>
        <w:rPr>
          <w:rFonts w:ascii="仿宋_GB2312" w:hAnsi="仿宋" w:eastAsia="仿宋_GB2312"/>
          <w:sz w:val="32"/>
          <w:szCs w:val="32"/>
        </w:rPr>
        <w:t>完成投资占</w:t>
      </w:r>
      <w:r>
        <w:rPr>
          <w:rFonts w:hint="eastAsia" w:ascii="仿宋_GB2312" w:hAnsi="仿宋" w:eastAsia="仿宋_GB2312"/>
          <w:sz w:val="32"/>
          <w:szCs w:val="32"/>
        </w:rPr>
        <w:t>固定资产投资的</w:t>
      </w:r>
      <w:r>
        <w:rPr>
          <w:rFonts w:ascii="仿宋_GB2312" w:hAnsi="仿宋" w:eastAsia="仿宋_GB2312"/>
          <w:sz w:val="32"/>
          <w:szCs w:val="32"/>
        </w:rPr>
        <w:t>0.14</w:t>
      </w:r>
      <w:r>
        <w:rPr>
          <w:rFonts w:hint="eastAsia" w:ascii="仿宋_GB2312" w:hAnsi="仿宋" w:eastAsia="仿宋_GB2312"/>
          <w:sz w:val="32"/>
          <w:szCs w:val="32"/>
        </w:rPr>
        <w:t>%，占比较上年下降2.42个百分点。民间投资力量逐步壮大，将会进一步改善国有投资一家独大的局面。</w:t>
      </w:r>
    </w:p>
    <w:p>
      <w:pPr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三是新能源投资逐步放缓</w:t>
      </w:r>
      <w:r>
        <w:rPr>
          <w:rFonts w:hint="eastAsia" w:ascii="仿宋_GB2312" w:hAnsi="仿宋" w:eastAsia="仿宋_GB2312"/>
          <w:sz w:val="32"/>
          <w:szCs w:val="32"/>
        </w:rPr>
        <w:t>。受疫情和国家限电政策等</w:t>
      </w:r>
      <w:r>
        <w:rPr>
          <w:rFonts w:ascii="仿宋_GB2312" w:hAnsi="仿宋" w:eastAsia="仿宋_GB2312"/>
          <w:sz w:val="32"/>
          <w:szCs w:val="32"/>
        </w:rPr>
        <w:t>多因素</w:t>
      </w:r>
      <w:r>
        <w:rPr>
          <w:rFonts w:hint="eastAsia" w:ascii="仿宋_GB2312" w:hAnsi="仿宋" w:eastAsia="仿宋_GB2312"/>
          <w:sz w:val="32"/>
          <w:szCs w:val="32"/>
        </w:rPr>
        <w:t>影响，新能源项目投资持续放缓。2022年，新能源项目完成投资同比下降21.1%，降幅较上年扩大22个百分点，其中，光伏发电项目投资增长2.3%，风电项目完成投资下降91.9%。新能源项目占固定资产投资的65.7%，与上年相比，占比下降9</w:t>
      </w:r>
      <w:r>
        <w:rPr>
          <w:rFonts w:ascii="仿宋_GB2312" w:hAnsi="仿宋" w:eastAsia="仿宋_GB2312"/>
          <w:sz w:val="32"/>
          <w:szCs w:val="32"/>
        </w:rPr>
        <w:t>.0</w:t>
      </w:r>
      <w:r>
        <w:rPr>
          <w:rFonts w:hint="eastAsia" w:ascii="仿宋_GB2312" w:hAnsi="仿宋" w:eastAsia="仿宋_GB2312"/>
          <w:sz w:val="32"/>
          <w:szCs w:val="32"/>
        </w:rPr>
        <w:t>个百分点。新能源项目投资比重下降，将为</w:t>
      </w:r>
      <w:r>
        <w:rPr>
          <w:rFonts w:ascii="仿宋_GB2312" w:hAnsi="仿宋" w:eastAsia="仿宋_GB2312"/>
          <w:sz w:val="32"/>
          <w:szCs w:val="32"/>
        </w:rPr>
        <w:t>全州</w:t>
      </w:r>
      <w:r>
        <w:rPr>
          <w:rFonts w:hint="eastAsia" w:ascii="仿宋_GB2312" w:hAnsi="仿宋" w:eastAsia="仿宋_GB2312"/>
          <w:sz w:val="32"/>
          <w:szCs w:val="32"/>
        </w:rPr>
        <w:t>促成尽快形成多元化投资渠道、各渠道项目投资互补的利好局面起到了推动作用。</w:t>
      </w:r>
    </w:p>
    <w:p>
      <w:pPr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四是房地产经营良好</w:t>
      </w:r>
      <w:r>
        <w:rPr>
          <w:rFonts w:hint="eastAsia" w:ascii="仿宋_GB2312" w:hAnsi="仿宋" w:eastAsia="仿宋_GB2312"/>
          <w:sz w:val="32"/>
          <w:szCs w:val="32"/>
        </w:rPr>
        <w:t>。2022年，全州房地产开发完成投资同比增长13.2%，占固定资产投资的3.1%，占比较上年提高0.6个百分点，拉动全州投资增长0.3个百分点。仅从项目规模看，投资总量进一步扩大。截止12月末，房地产开发投资总额45.8亿元，同比增长44.3%，房屋施工面积75.8万平方米，同比增长22.5%，本年新开工房屋面积30.6万平方米，同比增长1.1倍。</w:t>
      </w:r>
    </w:p>
    <w:p>
      <w:pPr>
        <w:spacing w:line="576" w:lineRule="exact"/>
        <w:ind w:firstLine="642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（四）居民消费增速基本平稳</w:t>
      </w:r>
      <w:r>
        <w:rPr>
          <w:rFonts w:hint="eastAsia" w:ascii="仿宋_GB2312" w:hAnsi="仿宋" w:eastAsia="仿宋_GB2312"/>
          <w:sz w:val="32"/>
          <w:szCs w:val="32"/>
        </w:rPr>
        <w:t>。2022年</w:t>
      </w:r>
      <w:r>
        <w:rPr>
          <w:rFonts w:ascii="仿宋_GB2312" w:hAnsi="黑体" w:eastAsia="仿宋_GB2312"/>
          <w:sz w:val="32"/>
          <w:szCs w:val="32"/>
        </w:rPr>
        <w:t>，全州实现社会消费品零售总额34.31</w:t>
      </w:r>
      <w:r>
        <w:rPr>
          <w:rFonts w:hint="eastAsia" w:ascii="仿宋_GB2312" w:hAnsi="黑体" w:eastAsia="仿宋_GB2312"/>
          <w:sz w:val="32"/>
          <w:szCs w:val="32"/>
        </w:rPr>
        <w:t>亿元</w:t>
      </w:r>
      <w:r>
        <w:rPr>
          <w:rFonts w:ascii="仿宋_GB2312" w:hAnsi="黑体" w:eastAsia="仿宋_GB2312"/>
          <w:sz w:val="32"/>
          <w:szCs w:val="32"/>
        </w:rPr>
        <w:t>，同比增长0.9%，较</w:t>
      </w:r>
      <w:r>
        <w:rPr>
          <w:rFonts w:hint="eastAsia" w:ascii="仿宋_GB2312" w:hAnsi="黑体" w:eastAsia="仿宋_GB2312"/>
          <w:sz w:val="32"/>
          <w:szCs w:val="32"/>
        </w:rPr>
        <w:t>前三季度</w:t>
      </w:r>
      <w:r>
        <w:rPr>
          <w:rFonts w:ascii="仿宋_GB2312" w:hAnsi="黑体" w:eastAsia="仿宋_GB2312"/>
          <w:sz w:val="32"/>
          <w:szCs w:val="32"/>
        </w:rPr>
        <w:t>回落</w:t>
      </w:r>
      <w:r>
        <w:rPr>
          <w:rFonts w:hint="eastAsia" w:ascii="仿宋_GB2312" w:hAnsi="黑体" w:eastAsia="仿宋_GB2312"/>
          <w:sz w:val="32"/>
          <w:szCs w:val="32"/>
        </w:rPr>
        <w:t>0.9个百分点</w:t>
      </w:r>
      <w:r>
        <w:rPr>
          <w:rFonts w:ascii="仿宋_GB2312" w:hAnsi="黑体" w:eastAsia="仿宋_GB2312"/>
          <w:sz w:val="32"/>
          <w:szCs w:val="32"/>
        </w:rPr>
        <w:t>，较同期回落6.8</w:t>
      </w:r>
      <w:r>
        <w:rPr>
          <w:rFonts w:hint="eastAsia" w:ascii="仿宋_GB2312" w:hAnsi="黑体" w:eastAsia="仿宋_GB2312"/>
          <w:sz w:val="32"/>
          <w:szCs w:val="32"/>
        </w:rPr>
        <w:t>个</w:t>
      </w:r>
      <w:r>
        <w:rPr>
          <w:rFonts w:ascii="仿宋_GB2312" w:hAnsi="黑体" w:eastAsia="仿宋_GB2312"/>
          <w:sz w:val="32"/>
          <w:szCs w:val="32"/>
        </w:rPr>
        <w:t>百分点。</w:t>
      </w:r>
    </w:p>
    <w:p>
      <w:pPr>
        <w:spacing w:line="576" w:lineRule="exact"/>
        <w:ind w:firstLine="420" w:firstLineChars="200"/>
        <w:rPr>
          <w:rFonts w:ascii="仿宋_GB2312" w:hAnsi="黑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199390</wp:posOffset>
            </wp:positionH>
            <wp:positionV relativeFrom="paragraph">
              <wp:posOffset>41910</wp:posOffset>
            </wp:positionV>
            <wp:extent cx="4797425" cy="2388235"/>
            <wp:effectExtent l="0" t="0" r="0" b="0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spacing w:line="576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华文新魏" w:hAnsi="宋体" w:eastAsia="华文新魏" w:cs="宋体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华文新魏" w:hAnsi="宋体" w:eastAsia="华文新魏" w:cs="宋体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华文新魏" w:hAnsi="宋体" w:eastAsia="华文新魏" w:cs="宋体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华文新魏" w:hAnsi="宋体" w:eastAsia="华文新魏" w:cs="宋体"/>
          <w:color w:val="000000"/>
          <w:kern w:val="0"/>
          <w:sz w:val="32"/>
          <w:szCs w:val="32"/>
        </w:rPr>
      </w:pPr>
    </w:p>
    <w:p>
      <w:pPr>
        <w:spacing w:line="576" w:lineRule="exact"/>
        <w:ind w:firstLine="642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从消费类型看，批发业销售额呈正增长</w:t>
      </w:r>
      <w:r>
        <w:rPr>
          <w:rFonts w:ascii="华文新魏" w:hAnsi="宋体" w:eastAsia="华文新魏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022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ascii="仿宋_GB2312" w:hAnsi="Times New Roman" w:eastAsia="仿宋_GB2312"/>
          <w:sz w:val="32"/>
          <w:szCs w:val="32"/>
        </w:rPr>
        <w:t>，全州</w:t>
      </w:r>
      <w:r>
        <w:rPr>
          <w:rFonts w:hint="eastAsia" w:ascii="仿宋_GB2312" w:hAnsi="Times New Roman" w:eastAsia="仿宋_GB2312"/>
          <w:sz w:val="32"/>
          <w:szCs w:val="32"/>
        </w:rPr>
        <w:t>实现批发业销售额</w:t>
      </w:r>
      <w:r>
        <w:rPr>
          <w:rFonts w:ascii="仿宋_GB2312" w:hAnsi="Times New Roman" w:eastAsia="仿宋_GB2312"/>
          <w:sz w:val="32"/>
          <w:szCs w:val="32"/>
        </w:rPr>
        <w:t>33.47</w:t>
      </w:r>
      <w:r>
        <w:rPr>
          <w:rFonts w:hint="eastAsia" w:ascii="仿宋_GB2312" w:hAnsi="Times New Roman" w:eastAsia="仿宋_GB2312"/>
          <w:sz w:val="32"/>
          <w:szCs w:val="32"/>
        </w:rPr>
        <w:t>亿元、增长</w:t>
      </w:r>
      <w:r>
        <w:rPr>
          <w:rFonts w:ascii="仿宋_GB2312" w:hAnsi="Times New Roman" w:eastAsia="仿宋_GB2312"/>
          <w:sz w:val="32"/>
          <w:szCs w:val="32"/>
        </w:rPr>
        <w:t>9.4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ascii="仿宋_GB2312" w:hAnsi="Times New Roman" w:eastAsia="仿宋_GB2312"/>
          <w:sz w:val="32"/>
          <w:szCs w:val="32"/>
        </w:rPr>
        <w:t>较</w:t>
      </w:r>
      <w:r>
        <w:rPr>
          <w:rFonts w:hint="eastAsia" w:ascii="仿宋_GB2312" w:hAnsi="Times New Roman" w:eastAsia="仿宋_GB2312"/>
          <w:sz w:val="32"/>
          <w:szCs w:val="32"/>
        </w:rPr>
        <w:t>前三季度回落6.4个</w:t>
      </w:r>
      <w:r>
        <w:rPr>
          <w:rFonts w:ascii="仿宋_GB2312" w:hAnsi="Times New Roman" w:eastAsia="仿宋_GB2312"/>
          <w:sz w:val="32"/>
          <w:szCs w:val="32"/>
        </w:rPr>
        <w:t>百分点</w:t>
      </w:r>
      <w:r>
        <w:rPr>
          <w:rFonts w:hint="eastAsia" w:ascii="仿宋_GB2312" w:hAnsi="Times New Roman" w:eastAsia="仿宋_GB2312"/>
          <w:sz w:val="32"/>
          <w:szCs w:val="32"/>
        </w:rPr>
        <w:t>；零售业销售额</w:t>
      </w:r>
      <w:r>
        <w:rPr>
          <w:rFonts w:ascii="仿宋_GB2312" w:hAnsi="Times New Roman" w:eastAsia="仿宋_GB2312"/>
          <w:sz w:val="32"/>
          <w:szCs w:val="32"/>
        </w:rPr>
        <w:t>18.84</w:t>
      </w:r>
      <w:r>
        <w:rPr>
          <w:rFonts w:hint="eastAsia" w:ascii="仿宋_GB2312" w:hAnsi="Times New Roman" w:eastAsia="仿宋_GB2312"/>
          <w:sz w:val="32"/>
          <w:szCs w:val="32"/>
        </w:rPr>
        <w:t>亿元、下降</w:t>
      </w:r>
      <w:r>
        <w:rPr>
          <w:rFonts w:ascii="仿宋_GB2312" w:hAnsi="Times New Roman" w:eastAsia="仿宋_GB2312"/>
          <w:sz w:val="32"/>
          <w:szCs w:val="32"/>
        </w:rPr>
        <w:t>4.5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ascii="仿宋_GB2312" w:hAnsi="Times New Roman" w:eastAsia="仿宋_GB2312"/>
          <w:sz w:val="32"/>
          <w:szCs w:val="32"/>
        </w:rPr>
        <w:t>较</w:t>
      </w:r>
      <w:r>
        <w:rPr>
          <w:rFonts w:hint="eastAsia" w:ascii="仿宋_GB2312" w:hAnsi="Times New Roman" w:eastAsia="仿宋_GB2312"/>
          <w:sz w:val="32"/>
          <w:szCs w:val="32"/>
        </w:rPr>
        <w:t>前三季度扩大1.1个</w:t>
      </w:r>
      <w:r>
        <w:rPr>
          <w:rFonts w:ascii="仿宋_GB2312" w:hAnsi="Times New Roman" w:eastAsia="仿宋_GB2312"/>
          <w:sz w:val="32"/>
          <w:szCs w:val="32"/>
        </w:rPr>
        <w:t>百分点</w:t>
      </w:r>
      <w:r>
        <w:rPr>
          <w:rFonts w:hint="eastAsia" w:ascii="仿宋_GB2312" w:hAnsi="Times New Roman" w:eastAsia="仿宋_GB2312"/>
          <w:sz w:val="32"/>
          <w:szCs w:val="32"/>
        </w:rPr>
        <w:t>。住宿业营业额</w:t>
      </w:r>
      <w:r>
        <w:rPr>
          <w:rFonts w:ascii="仿宋_GB2312" w:hAnsi="Times New Roman" w:eastAsia="仿宋_GB2312"/>
          <w:sz w:val="32"/>
          <w:szCs w:val="32"/>
        </w:rPr>
        <w:t>1.81</w:t>
      </w:r>
      <w:r>
        <w:rPr>
          <w:rFonts w:hint="eastAsia" w:ascii="仿宋_GB2312" w:hAnsi="Times New Roman" w:eastAsia="仿宋_GB2312"/>
          <w:sz w:val="32"/>
          <w:szCs w:val="32"/>
        </w:rPr>
        <w:t>亿元、下降</w:t>
      </w:r>
      <w:r>
        <w:rPr>
          <w:rFonts w:ascii="仿宋_GB2312" w:hAnsi="Times New Roman" w:eastAsia="仿宋_GB2312"/>
          <w:sz w:val="32"/>
          <w:szCs w:val="32"/>
        </w:rPr>
        <w:t>12.0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ascii="仿宋_GB2312" w:hAnsi="Times New Roman" w:eastAsia="仿宋_GB2312"/>
          <w:sz w:val="32"/>
          <w:szCs w:val="32"/>
        </w:rPr>
        <w:t>较</w:t>
      </w:r>
      <w:r>
        <w:rPr>
          <w:rFonts w:hint="eastAsia" w:ascii="仿宋_GB2312" w:hAnsi="Times New Roman" w:eastAsia="仿宋_GB2312"/>
          <w:sz w:val="32"/>
          <w:szCs w:val="32"/>
        </w:rPr>
        <w:t>前三季度收窄</w:t>
      </w:r>
      <w:r>
        <w:rPr>
          <w:rFonts w:ascii="仿宋_GB2312" w:hAnsi="Times New Roman" w:eastAsia="仿宋_GB2312"/>
          <w:sz w:val="32"/>
          <w:szCs w:val="32"/>
        </w:rPr>
        <w:t>17.8</w:t>
      </w:r>
      <w:r>
        <w:rPr>
          <w:rFonts w:hint="eastAsia" w:ascii="仿宋_GB2312" w:hAnsi="Times New Roman" w:eastAsia="仿宋_GB2312"/>
          <w:sz w:val="32"/>
          <w:szCs w:val="32"/>
        </w:rPr>
        <w:t>个</w:t>
      </w:r>
      <w:r>
        <w:rPr>
          <w:rFonts w:ascii="仿宋_GB2312" w:hAnsi="Times New Roman" w:eastAsia="仿宋_GB2312"/>
          <w:sz w:val="32"/>
          <w:szCs w:val="32"/>
        </w:rPr>
        <w:t>百分点</w:t>
      </w:r>
      <w:r>
        <w:rPr>
          <w:rFonts w:hint="eastAsia" w:ascii="仿宋_GB2312" w:hAnsi="Times New Roman" w:eastAsia="仿宋_GB2312"/>
          <w:sz w:val="32"/>
          <w:szCs w:val="32"/>
        </w:rPr>
        <w:t>；餐饮业营业额</w:t>
      </w:r>
      <w:r>
        <w:rPr>
          <w:rFonts w:ascii="仿宋_GB2312" w:hAnsi="Times New Roman" w:eastAsia="仿宋_GB2312"/>
          <w:sz w:val="32"/>
          <w:szCs w:val="32"/>
        </w:rPr>
        <w:t>4.67</w:t>
      </w:r>
      <w:r>
        <w:rPr>
          <w:rFonts w:hint="eastAsia" w:ascii="仿宋_GB2312" w:hAnsi="Times New Roman" w:eastAsia="仿宋_GB2312"/>
          <w:sz w:val="32"/>
          <w:szCs w:val="32"/>
        </w:rPr>
        <w:t>亿元、下降</w:t>
      </w:r>
      <w:r>
        <w:rPr>
          <w:rFonts w:ascii="仿宋_GB2312" w:hAnsi="Times New Roman" w:eastAsia="仿宋_GB2312"/>
          <w:sz w:val="32"/>
          <w:szCs w:val="32"/>
        </w:rPr>
        <w:t>9.8</w:t>
      </w:r>
      <w:r>
        <w:rPr>
          <w:rFonts w:hint="eastAsia" w:ascii="仿宋_GB2312" w:hAnsi="Times New Roman" w:eastAsia="仿宋_GB2312"/>
          <w:sz w:val="32"/>
          <w:szCs w:val="32"/>
        </w:rPr>
        <w:t>%，</w:t>
      </w:r>
      <w:r>
        <w:rPr>
          <w:rFonts w:ascii="仿宋_GB2312" w:hAnsi="Times New Roman" w:eastAsia="仿宋_GB2312"/>
          <w:sz w:val="32"/>
          <w:szCs w:val="32"/>
        </w:rPr>
        <w:t>较</w:t>
      </w:r>
      <w:r>
        <w:rPr>
          <w:rFonts w:hint="eastAsia" w:ascii="仿宋_GB2312" w:hAnsi="Times New Roman" w:eastAsia="仿宋_GB2312"/>
          <w:sz w:val="32"/>
          <w:szCs w:val="32"/>
        </w:rPr>
        <w:t>前三季度回落67.1个</w:t>
      </w:r>
      <w:r>
        <w:rPr>
          <w:rFonts w:ascii="仿宋_GB2312" w:hAnsi="Times New Roman" w:eastAsia="仿宋_GB2312"/>
          <w:sz w:val="32"/>
          <w:szCs w:val="32"/>
        </w:rPr>
        <w:t>百分点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spacing w:line="576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从消费</w:t>
      </w:r>
      <w:r>
        <w:rPr>
          <w:rFonts w:ascii="仿宋_GB2312" w:hAnsi="Times New Roman" w:eastAsia="仿宋_GB2312"/>
          <w:b/>
          <w:sz w:val="32"/>
          <w:szCs w:val="32"/>
        </w:rPr>
        <w:t>价格看，</w:t>
      </w:r>
      <w:r>
        <w:rPr>
          <w:rFonts w:hint="eastAsia" w:ascii="仿宋_GB2312" w:hAnsi="Times New Roman" w:eastAsia="仿宋_GB2312"/>
          <w:b/>
          <w:sz w:val="32"/>
          <w:szCs w:val="32"/>
        </w:rPr>
        <w:t>居民</w:t>
      </w:r>
      <w:r>
        <w:rPr>
          <w:rFonts w:ascii="仿宋_GB2312" w:hAnsi="Times New Roman" w:eastAsia="仿宋_GB2312"/>
          <w:b/>
          <w:sz w:val="32"/>
          <w:szCs w:val="32"/>
        </w:rPr>
        <w:t>消费价格</w:t>
      </w:r>
      <w:r>
        <w:rPr>
          <w:rFonts w:hint="eastAsia" w:ascii="仿宋_GB2312" w:hAnsi="Times New Roman" w:eastAsia="仿宋_GB2312"/>
          <w:b/>
          <w:sz w:val="32"/>
          <w:szCs w:val="32"/>
        </w:rPr>
        <w:t>温和上涨</w:t>
      </w:r>
      <w:r>
        <w:rPr>
          <w:rFonts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，共和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居民消费价格</w:t>
      </w:r>
      <w:r>
        <w:rPr>
          <w:rFonts w:hint="eastAsia" w:ascii="仿宋_GB2312" w:eastAsia="仿宋_GB2312"/>
          <w:sz w:val="32"/>
          <w:szCs w:val="32"/>
        </w:rPr>
        <w:t>累计</w:t>
      </w:r>
      <w:r>
        <w:rPr>
          <w:rFonts w:ascii="仿宋_GB2312" w:eastAsia="仿宋_GB2312"/>
          <w:sz w:val="32"/>
          <w:szCs w:val="32"/>
        </w:rPr>
        <w:t>上涨2.2%，</w:t>
      </w:r>
      <w:r>
        <w:rPr>
          <w:rFonts w:hint="eastAsia" w:ascii="仿宋_GB2312" w:eastAsia="仿宋_GB2312"/>
          <w:sz w:val="32"/>
          <w:szCs w:val="32"/>
        </w:rPr>
        <w:t>较同期高0.9个</w:t>
      </w:r>
      <w:r>
        <w:rPr>
          <w:rFonts w:ascii="仿宋_GB2312" w:eastAsia="仿宋_GB2312"/>
          <w:sz w:val="32"/>
          <w:szCs w:val="32"/>
        </w:rPr>
        <w:t>百分点，较全省低</w:t>
      </w:r>
      <w:r>
        <w:rPr>
          <w:rFonts w:hint="eastAsia" w:ascii="仿宋_GB2312" w:eastAsia="仿宋_GB2312"/>
          <w:sz w:val="32"/>
          <w:szCs w:val="32"/>
        </w:rPr>
        <w:t>0.2个</w:t>
      </w:r>
      <w:r>
        <w:rPr>
          <w:rFonts w:ascii="仿宋_GB2312" w:eastAsia="仿宋_GB2312"/>
          <w:sz w:val="32"/>
          <w:szCs w:val="32"/>
        </w:rPr>
        <w:t>百分点。</w:t>
      </w:r>
      <w:r>
        <w:rPr>
          <w:rFonts w:ascii="仿宋_GB2312" w:hAnsi="仿宋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月份，共和县居民消费价格环比下降0.</w:t>
      </w:r>
      <w:r>
        <w:rPr>
          <w:rFonts w:ascii="仿宋_GB2312" w:eastAsia="仿宋_GB2312"/>
          <w:sz w:val="32"/>
          <w:szCs w:val="32"/>
        </w:rPr>
        <w:t>7%，</w:t>
      </w:r>
      <w:r>
        <w:rPr>
          <w:rFonts w:hint="eastAsia" w:ascii="仿宋_GB2312" w:eastAsia="仿宋_GB2312"/>
          <w:sz w:val="32"/>
          <w:szCs w:val="32"/>
        </w:rPr>
        <w:t>降幅较</w:t>
      </w:r>
      <w:r>
        <w:rPr>
          <w:rFonts w:ascii="仿宋_GB2312" w:eastAsia="仿宋_GB2312"/>
          <w:sz w:val="32"/>
          <w:szCs w:val="32"/>
        </w:rPr>
        <w:t>同期</w:t>
      </w:r>
      <w:r>
        <w:rPr>
          <w:rFonts w:hint="eastAsia" w:ascii="仿宋_GB2312" w:eastAsia="仿宋_GB2312"/>
          <w:sz w:val="32"/>
          <w:szCs w:val="32"/>
        </w:rPr>
        <w:t>扩大0.4个</w:t>
      </w:r>
      <w:r>
        <w:rPr>
          <w:rFonts w:ascii="仿宋_GB2312" w:eastAsia="仿宋_GB2312"/>
          <w:sz w:val="32"/>
          <w:szCs w:val="32"/>
        </w:rPr>
        <w:t>百分点，较全省低</w:t>
      </w:r>
      <w:r>
        <w:rPr>
          <w:rFonts w:hint="eastAsia" w:ascii="仿宋_GB2312" w:eastAsia="仿宋_GB2312"/>
          <w:sz w:val="32"/>
          <w:szCs w:val="32"/>
        </w:rPr>
        <w:t>0.3个</w:t>
      </w:r>
      <w:r>
        <w:rPr>
          <w:rFonts w:ascii="仿宋_GB2312" w:eastAsia="仿宋_GB2312"/>
          <w:sz w:val="32"/>
          <w:szCs w:val="32"/>
        </w:rPr>
        <w:t>百分点。</w:t>
      </w:r>
      <w:r>
        <w:rPr>
          <w:rFonts w:hint="eastAsia" w:ascii="仿宋_GB2312" w:eastAsia="仿宋_GB2312"/>
          <w:sz w:val="32"/>
          <w:szCs w:val="32"/>
        </w:rPr>
        <w:t>居民消费价格同比上涨</w:t>
      </w:r>
      <w:r>
        <w:rPr>
          <w:rFonts w:ascii="仿宋_GB2312"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%，</w:t>
      </w:r>
      <w:r>
        <w:rPr>
          <w:rFonts w:ascii="仿宋_GB2312" w:eastAsia="仿宋_GB2312"/>
          <w:sz w:val="32"/>
          <w:szCs w:val="32"/>
        </w:rPr>
        <w:t>较同期低</w:t>
      </w:r>
      <w:r>
        <w:rPr>
          <w:rFonts w:hint="eastAsia" w:ascii="仿宋_GB2312" w:eastAsia="仿宋_GB2312"/>
          <w:sz w:val="32"/>
          <w:szCs w:val="32"/>
        </w:rPr>
        <w:t>1.1个</w:t>
      </w:r>
      <w:r>
        <w:rPr>
          <w:rFonts w:ascii="仿宋_GB2312" w:eastAsia="仿宋_GB2312"/>
          <w:sz w:val="32"/>
          <w:szCs w:val="32"/>
        </w:rPr>
        <w:t>百分点，较全省低</w:t>
      </w:r>
      <w:r>
        <w:rPr>
          <w:rFonts w:hint="eastAsia" w:ascii="仿宋_GB2312" w:eastAsia="仿宋_GB2312"/>
          <w:sz w:val="32"/>
          <w:szCs w:val="32"/>
        </w:rPr>
        <w:t>0.9个</w:t>
      </w:r>
      <w:r>
        <w:rPr>
          <w:rFonts w:ascii="仿宋_GB2312" w:eastAsia="仿宋_GB2312"/>
          <w:sz w:val="32"/>
          <w:szCs w:val="32"/>
        </w:rPr>
        <w:t>百分点。</w:t>
      </w:r>
    </w:p>
    <w:p>
      <w:pPr>
        <w:spacing w:line="576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42545</wp:posOffset>
            </wp:positionV>
            <wp:extent cx="5097145" cy="2087880"/>
            <wp:effectExtent l="0" t="0" r="0" b="0"/>
            <wp:wrapNone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firstLine="642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（五）财政收支呈两位数增长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2022年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全州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财税部门紧盯州委州政府部署增收扩支，力促预算收支管理提质增效。全年完成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地方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一般公共预算收入18.46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增长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较前三季度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提高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9.5个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百分点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较同期回落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12.5个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百分点。</w:t>
      </w:r>
    </w:p>
    <w:p>
      <w:pPr>
        <w:ind w:firstLine="42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inline distT="0" distB="0" distL="0" distR="0">
            <wp:extent cx="5104130" cy="231267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ind w:firstLine="640" w:firstLineChars="200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从收入类别看，</w:t>
      </w:r>
      <w:r>
        <w:rPr>
          <w:rFonts w:hint="eastAsia" w:ascii="仿宋_GB2312" w:eastAsia="仿宋_GB2312"/>
          <w:sz w:val="32"/>
          <w:szCs w:val="32"/>
        </w:rPr>
        <w:t>完成税收收入</w:t>
      </w:r>
      <w:r>
        <w:rPr>
          <w:rFonts w:ascii="仿宋_GB2312" w:eastAsia="仿宋_GB2312"/>
          <w:sz w:val="32"/>
          <w:szCs w:val="32"/>
        </w:rPr>
        <w:t>14.49</w:t>
      </w:r>
      <w:r>
        <w:rPr>
          <w:rFonts w:hint="eastAsia" w:ascii="仿宋_GB2312" w:eastAsia="仿宋_GB2312"/>
          <w:sz w:val="32"/>
          <w:szCs w:val="32"/>
        </w:rPr>
        <w:t>亿元，增长10.6%；非税收入</w:t>
      </w:r>
      <w:r>
        <w:rPr>
          <w:rFonts w:ascii="仿宋_GB2312" w:eastAsia="仿宋_GB2312"/>
          <w:sz w:val="32"/>
          <w:szCs w:val="32"/>
        </w:rPr>
        <w:t>3.97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7.9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华文新魏" w:eastAsia="华文新魏"/>
          <w:sz w:val="32"/>
          <w:szCs w:val="32"/>
        </w:rPr>
        <w:t>从主要税种看，</w:t>
      </w:r>
      <w:r>
        <w:rPr>
          <w:rFonts w:hint="eastAsia" w:ascii="仿宋_GB2312" w:hAnsi="新宋体" w:eastAsia="仿宋_GB2312" w:cs="Times New Roman"/>
          <w:sz w:val="32"/>
          <w:szCs w:val="32"/>
        </w:rPr>
        <w:t>完成企业所得税</w:t>
      </w:r>
      <w:r>
        <w:rPr>
          <w:rFonts w:ascii="仿宋_GB2312" w:hAnsi="新宋体" w:eastAsia="仿宋_GB2312" w:cs="Times New Roman"/>
          <w:sz w:val="32"/>
          <w:szCs w:val="32"/>
        </w:rPr>
        <w:t>1.92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亿元，增长</w:t>
      </w:r>
      <w:r>
        <w:rPr>
          <w:rFonts w:ascii="仿宋_GB2312" w:hAnsi="新宋体" w:eastAsia="仿宋_GB2312" w:cs="Times New Roman"/>
          <w:sz w:val="32"/>
          <w:szCs w:val="32"/>
        </w:rPr>
        <w:t>87.2</w:t>
      </w:r>
      <w:r>
        <w:rPr>
          <w:rFonts w:hint="eastAsia" w:ascii="仿宋_GB2312" w:hAnsi="新宋体" w:eastAsia="仿宋_GB2312" w:cs="Times New Roman"/>
          <w:sz w:val="32"/>
          <w:szCs w:val="32"/>
        </w:rPr>
        <w:t>%；个人所得税</w:t>
      </w:r>
      <w:r>
        <w:rPr>
          <w:rFonts w:ascii="仿宋_GB2312" w:hAnsi="新宋体" w:eastAsia="仿宋_GB2312" w:cs="Times New Roman"/>
          <w:sz w:val="32"/>
          <w:szCs w:val="32"/>
        </w:rPr>
        <w:t>0.37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亿元，增长</w:t>
      </w:r>
      <w:r>
        <w:rPr>
          <w:rFonts w:ascii="仿宋_GB2312" w:hAnsi="新宋体" w:eastAsia="仿宋_GB2312" w:cs="Times New Roman"/>
          <w:sz w:val="32"/>
          <w:szCs w:val="32"/>
        </w:rPr>
        <w:t>32.4</w:t>
      </w:r>
      <w:r>
        <w:rPr>
          <w:rFonts w:hint="eastAsia" w:ascii="仿宋_GB2312" w:hAnsi="新宋体" w:eastAsia="仿宋_GB2312" w:cs="Times New Roman"/>
          <w:sz w:val="32"/>
          <w:szCs w:val="32"/>
        </w:rPr>
        <w:t>%；耕地占用税</w:t>
      </w:r>
      <w:r>
        <w:rPr>
          <w:rFonts w:ascii="仿宋_GB2312" w:hAnsi="新宋体" w:eastAsia="仿宋_GB2312" w:cs="Times New Roman"/>
          <w:sz w:val="32"/>
          <w:szCs w:val="32"/>
        </w:rPr>
        <w:t>7.88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亿元，增长</w:t>
      </w:r>
      <w:r>
        <w:rPr>
          <w:rFonts w:ascii="仿宋_GB2312" w:hAnsi="新宋体" w:eastAsia="仿宋_GB2312" w:cs="Times New Roman"/>
          <w:sz w:val="32"/>
          <w:szCs w:val="32"/>
        </w:rPr>
        <w:t>67.1%</w:t>
      </w:r>
      <w:r>
        <w:rPr>
          <w:rFonts w:hint="eastAsia" w:ascii="仿宋_GB2312" w:hAnsi="新宋体" w:eastAsia="仿宋_GB2312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新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ascii="仿宋_GB2312" w:hAnsi="仿宋_GB2312" w:eastAsia="仿宋_GB2312" w:cs="仿宋_GB2312"/>
          <w:sz w:val="32"/>
          <w:szCs w:val="32"/>
        </w:rPr>
        <w:t>，全州完成一般公共预算支出</w:t>
      </w:r>
      <w:r>
        <w:rPr>
          <w:rFonts w:ascii="仿宋_GB2312" w:hAnsi="新宋体" w:eastAsia="仿宋_GB2312" w:cs="Times New Roman"/>
          <w:sz w:val="32"/>
          <w:szCs w:val="32"/>
        </w:rPr>
        <w:t>155.81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ascii="仿宋_GB2312" w:hAnsi="仿宋_GB2312" w:eastAsia="仿宋_GB2312" w:cs="仿宋_GB2312"/>
          <w:sz w:val="32"/>
          <w:szCs w:val="32"/>
        </w:rPr>
        <w:t>，同比增长</w:t>
      </w:r>
      <w:r>
        <w:rPr>
          <w:rFonts w:ascii="仿宋_GB2312" w:hAnsi="新宋体" w:eastAsia="仿宋_GB2312" w:cs="Times New Roman"/>
          <w:sz w:val="32"/>
          <w:szCs w:val="32"/>
        </w:rPr>
        <w:t>36.5%</w:t>
      </w:r>
      <w:r>
        <w:rPr>
          <w:rFonts w:ascii="仿宋_GB2312" w:hAnsi="仿宋_GB2312" w:eastAsia="仿宋_GB2312" w:cs="仿宋_GB2312"/>
          <w:sz w:val="32"/>
          <w:szCs w:val="32"/>
        </w:rPr>
        <w:t>，较</w:t>
      </w:r>
      <w:r>
        <w:rPr>
          <w:rFonts w:hint="eastAsia" w:ascii="仿宋_GB2312" w:hAnsi="仿宋_GB2312" w:eastAsia="仿宋_GB2312" w:cs="仿宋_GB2312"/>
          <w:sz w:val="32"/>
          <w:szCs w:val="32"/>
        </w:rPr>
        <w:t>前三季度回落3.8</w:t>
      </w:r>
      <w:r>
        <w:rPr>
          <w:rFonts w:hint="eastAsia" w:ascii="仿宋_GB2312" w:hAnsi="新宋体" w:eastAsia="仿宋_GB2312" w:cs="Times New Roman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百分点。其中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一般公共服务支</w:t>
      </w:r>
      <w:r>
        <w:rPr>
          <w:rFonts w:ascii="仿宋_GB2312" w:hAnsi="新宋体" w:eastAsia="仿宋_GB2312" w:cs="Times New Roman"/>
          <w:sz w:val="32"/>
          <w:szCs w:val="32"/>
        </w:rPr>
        <w:t>出11.27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增长8.0%</w:t>
      </w:r>
      <w:r>
        <w:rPr>
          <w:rFonts w:hint="eastAsia" w:ascii="仿宋_GB2312" w:hAnsi="新宋体" w:eastAsia="仿宋_GB2312" w:cs="Times New Roman"/>
          <w:sz w:val="32"/>
          <w:szCs w:val="32"/>
        </w:rPr>
        <w:t>；公共</w:t>
      </w:r>
      <w:r>
        <w:rPr>
          <w:rFonts w:ascii="仿宋_GB2312" w:hAnsi="新宋体" w:eastAsia="仿宋_GB2312" w:cs="Times New Roman"/>
          <w:sz w:val="32"/>
          <w:szCs w:val="32"/>
        </w:rPr>
        <w:t>安全支出5.33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增长34.7%</w:t>
      </w:r>
      <w:r>
        <w:rPr>
          <w:rFonts w:hint="eastAsia" w:ascii="仿宋_GB2312" w:hAnsi="新宋体" w:eastAsia="仿宋_GB2312" w:cs="Times New Roman"/>
          <w:sz w:val="32"/>
          <w:szCs w:val="32"/>
        </w:rPr>
        <w:t>；教育</w:t>
      </w:r>
      <w:r>
        <w:rPr>
          <w:rFonts w:ascii="仿宋_GB2312" w:hAnsi="新宋体" w:eastAsia="仿宋_GB2312" w:cs="Times New Roman"/>
          <w:sz w:val="32"/>
          <w:szCs w:val="32"/>
        </w:rPr>
        <w:t>支出18.84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增长12.3%</w:t>
      </w:r>
      <w:r>
        <w:rPr>
          <w:rFonts w:hint="eastAsia" w:ascii="仿宋_GB2312" w:hAnsi="新宋体" w:eastAsia="仿宋_GB2312" w:cs="Times New Roman"/>
          <w:sz w:val="32"/>
          <w:szCs w:val="32"/>
        </w:rPr>
        <w:t>；科学技术</w:t>
      </w:r>
      <w:r>
        <w:rPr>
          <w:rFonts w:ascii="仿宋_GB2312" w:hAnsi="新宋体" w:eastAsia="仿宋_GB2312" w:cs="Times New Roman"/>
          <w:sz w:val="32"/>
          <w:szCs w:val="32"/>
        </w:rPr>
        <w:t>支出0.19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亿元，下降</w:t>
      </w:r>
      <w:r>
        <w:rPr>
          <w:rFonts w:ascii="仿宋_GB2312" w:hAnsi="新宋体" w:eastAsia="仿宋_GB2312" w:cs="Times New Roman"/>
          <w:sz w:val="32"/>
          <w:szCs w:val="32"/>
        </w:rPr>
        <w:t>9.8%</w:t>
      </w:r>
      <w:r>
        <w:rPr>
          <w:rFonts w:hint="eastAsia" w:ascii="仿宋_GB2312" w:hAnsi="新宋体" w:eastAsia="仿宋_GB2312" w:cs="Times New Roman"/>
          <w:sz w:val="32"/>
          <w:szCs w:val="32"/>
        </w:rPr>
        <w:t>；社会</w:t>
      </w:r>
      <w:r>
        <w:rPr>
          <w:rFonts w:ascii="仿宋_GB2312" w:hAnsi="新宋体" w:eastAsia="仿宋_GB2312" w:cs="Times New Roman"/>
          <w:sz w:val="32"/>
          <w:szCs w:val="32"/>
        </w:rPr>
        <w:t>保障和就业支出21.07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增长8.9%</w:t>
      </w:r>
      <w:r>
        <w:rPr>
          <w:rFonts w:hint="eastAsia" w:ascii="仿宋_GB2312" w:hAnsi="新宋体" w:eastAsia="仿宋_GB2312" w:cs="Times New Roman"/>
          <w:sz w:val="32"/>
          <w:szCs w:val="32"/>
        </w:rPr>
        <w:t>；</w:t>
      </w:r>
      <w:r>
        <w:rPr>
          <w:rFonts w:ascii="仿宋_GB2312" w:hAnsi="新宋体" w:eastAsia="仿宋_GB2312" w:cs="Times New Roman"/>
          <w:sz w:val="32"/>
          <w:szCs w:val="32"/>
        </w:rPr>
        <w:t>卫生健康支出12.28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增长37.8%</w:t>
      </w:r>
      <w:r>
        <w:rPr>
          <w:rFonts w:hint="eastAsia" w:ascii="仿宋_GB2312" w:hAnsi="新宋体" w:eastAsia="仿宋_GB2312" w:cs="Times New Roman"/>
          <w:sz w:val="32"/>
          <w:szCs w:val="32"/>
        </w:rPr>
        <w:t>；</w:t>
      </w:r>
      <w:r>
        <w:rPr>
          <w:rFonts w:ascii="仿宋_GB2312" w:hAnsi="新宋体" w:eastAsia="仿宋_GB2312" w:cs="Times New Roman"/>
          <w:sz w:val="32"/>
          <w:szCs w:val="32"/>
        </w:rPr>
        <w:t>节能环保支出12.27</w:t>
      </w:r>
      <w:r>
        <w:rPr>
          <w:rFonts w:hint="eastAsia" w:ascii="仿宋_GB2312" w:hAnsi="新宋体" w:eastAsia="仿宋_GB2312" w:cs="Times New Roman"/>
          <w:sz w:val="32"/>
          <w:szCs w:val="32"/>
        </w:rPr>
        <w:t>亿元，</w:t>
      </w:r>
      <w:r>
        <w:rPr>
          <w:rFonts w:ascii="仿宋_GB2312" w:hAnsi="新宋体" w:eastAsia="仿宋_GB2312" w:cs="Times New Roman"/>
          <w:sz w:val="32"/>
          <w:szCs w:val="32"/>
        </w:rPr>
        <w:t>增长</w:t>
      </w:r>
      <w:r>
        <w:rPr>
          <w:rFonts w:hint="eastAsia" w:ascii="仿宋_GB2312" w:hAnsi="新宋体" w:eastAsia="仿宋_GB2312" w:cs="Times New Roman"/>
          <w:sz w:val="32"/>
          <w:szCs w:val="32"/>
        </w:rPr>
        <w:t>1</w:t>
      </w:r>
      <w:r>
        <w:rPr>
          <w:rFonts w:ascii="仿宋_GB2312" w:hAnsi="新宋体" w:eastAsia="仿宋_GB2312" w:cs="Times New Roman"/>
          <w:sz w:val="32"/>
          <w:szCs w:val="32"/>
        </w:rPr>
        <w:t>07.2%</w:t>
      </w:r>
      <w:r>
        <w:rPr>
          <w:rFonts w:hint="eastAsia" w:ascii="仿宋_GB2312" w:hAnsi="新宋体" w:eastAsia="仿宋_GB2312" w:cs="Times New Roman"/>
          <w:sz w:val="32"/>
          <w:szCs w:val="32"/>
        </w:rPr>
        <w:t>；</w:t>
      </w:r>
      <w:r>
        <w:rPr>
          <w:rFonts w:ascii="仿宋_GB2312" w:hAnsi="新宋体" w:eastAsia="仿宋_GB2312" w:cs="Times New Roman"/>
          <w:sz w:val="32"/>
          <w:szCs w:val="32"/>
        </w:rPr>
        <w:t>城乡社区支出12.94</w:t>
      </w:r>
      <w:r>
        <w:rPr>
          <w:rFonts w:hint="eastAsia" w:ascii="仿宋_GB2312" w:hAnsi="新宋体" w:eastAsia="仿宋_GB2312" w:cs="Times New Roman"/>
          <w:sz w:val="32"/>
          <w:szCs w:val="32"/>
        </w:rPr>
        <w:t>元，</w:t>
      </w:r>
      <w:r>
        <w:rPr>
          <w:rFonts w:ascii="仿宋_GB2312" w:hAnsi="新宋体" w:eastAsia="仿宋_GB2312" w:cs="Times New Roman"/>
          <w:sz w:val="32"/>
          <w:szCs w:val="32"/>
        </w:rPr>
        <w:t>增长</w:t>
      </w:r>
      <w:r>
        <w:rPr>
          <w:rFonts w:hint="eastAsia" w:ascii="仿宋_GB2312" w:hAnsi="新宋体" w:eastAsia="仿宋_GB2312" w:cs="Times New Roman"/>
          <w:sz w:val="32"/>
          <w:szCs w:val="32"/>
        </w:rPr>
        <w:t>2</w:t>
      </w:r>
      <w:r>
        <w:rPr>
          <w:rFonts w:ascii="仿宋_GB2312" w:hAnsi="新宋体" w:eastAsia="仿宋_GB2312" w:cs="Times New Roman"/>
          <w:sz w:val="32"/>
          <w:szCs w:val="32"/>
        </w:rPr>
        <w:t>88.2%。</w:t>
      </w:r>
    </w:p>
    <w:p>
      <w:pPr>
        <w:widowControl/>
        <w:shd w:val="clear" w:color="auto" w:fill="FFFFFF"/>
        <w:spacing w:line="576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（六）金融市场运行持续稳健。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月末，全州金融机构完成各项存款余额</w:t>
      </w:r>
      <w:r>
        <w:rPr>
          <w:rFonts w:ascii="仿宋_GB2312" w:eastAsia="仿宋_GB2312"/>
          <w:sz w:val="32"/>
          <w:szCs w:val="32"/>
        </w:rPr>
        <w:t>250.50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18.0</w:t>
      </w:r>
      <w:r>
        <w:rPr>
          <w:rFonts w:hint="eastAsia" w:ascii="仿宋_GB2312" w:eastAsia="仿宋_GB2312"/>
          <w:sz w:val="32"/>
          <w:szCs w:val="32"/>
        </w:rPr>
        <w:t>%，增幅较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月末提高1.4个百分点，较</w:t>
      </w:r>
      <w:r>
        <w:rPr>
          <w:rFonts w:ascii="仿宋_GB2312" w:eastAsia="仿宋_GB2312"/>
          <w:sz w:val="32"/>
          <w:szCs w:val="32"/>
        </w:rPr>
        <w:t>同期</w:t>
      </w:r>
      <w:r>
        <w:rPr>
          <w:rFonts w:hint="eastAsia" w:ascii="仿宋_GB2312" w:eastAsia="仿宋_GB2312"/>
          <w:sz w:val="32"/>
          <w:szCs w:val="32"/>
        </w:rPr>
        <w:t>提高12.2个</w:t>
      </w:r>
      <w:r>
        <w:rPr>
          <w:rFonts w:ascii="仿宋_GB2312" w:eastAsia="仿宋_GB2312"/>
          <w:sz w:val="32"/>
          <w:szCs w:val="32"/>
        </w:rPr>
        <w:t>百分点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76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5473065" cy="2647950"/>
            <wp:effectExtent l="0" t="0" r="0" b="0"/>
            <wp:wrapNone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>从存款类别看，非金融企业存款快速增长。</w:t>
      </w:r>
      <w:r>
        <w:rPr>
          <w:rFonts w:hint="eastAsia" w:ascii="仿宋_GB2312" w:eastAsia="仿宋_GB2312"/>
          <w:sz w:val="32"/>
          <w:szCs w:val="32"/>
        </w:rPr>
        <w:t>非金融企业存款</w:t>
      </w:r>
      <w:r>
        <w:rPr>
          <w:rFonts w:ascii="仿宋_GB2312" w:eastAsia="仿宋_GB2312"/>
          <w:sz w:val="32"/>
          <w:szCs w:val="32"/>
        </w:rPr>
        <w:t>38.34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39.8</w:t>
      </w:r>
      <w:r>
        <w:rPr>
          <w:rFonts w:hint="eastAsia" w:ascii="仿宋_GB2312" w:eastAsia="仿宋_GB2312"/>
          <w:sz w:val="32"/>
          <w:szCs w:val="32"/>
        </w:rPr>
        <w:t>%；住户存款</w:t>
      </w:r>
      <w:r>
        <w:rPr>
          <w:rFonts w:ascii="仿宋_GB2312" w:eastAsia="仿宋_GB2312"/>
          <w:sz w:val="32"/>
          <w:szCs w:val="32"/>
        </w:rPr>
        <w:t>127.80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13.0</w:t>
      </w:r>
      <w:r>
        <w:rPr>
          <w:rFonts w:hint="eastAsia" w:ascii="仿宋_GB2312" w:eastAsia="仿宋_GB2312"/>
          <w:sz w:val="32"/>
          <w:szCs w:val="32"/>
        </w:rPr>
        <w:t>%；财政性存款</w:t>
      </w:r>
      <w:r>
        <w:rPr>
          <w:rFonts w:ascii="仿宋_GB2312" w:eastAsia="仿宋_GB2312"/>
          <w:sz w:val="32"/>
          <w:szCs w:val="32"/>
        </w:rPr>
        <w:t>16.35</w:t>
      </w:r>
      <w:r>
        <w:rPr>
          <w:rFonts w:hint="eastAsia" w:ascii="仿宋_GB2312" w:eastAsia="仿宋_GB2312"/>
          <w:sz w:val="32"/>
          <w:szCs w:val="32"/>
        </w:rPr>
        <w:t>亿元，下降11.6%；机关团体存款</w:t>
      </w:r>
      <w:r>
        <w:rPr>
          <w:rFonts w:ascii="仿宋_GB2312" w:eastAsia="仿宋_GB2312"/>
          <w:sz w:val="32"/>
          <w:szCs w:val="32"/>
        </w:rPr>
        <w:t>68.01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27.7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widowControl/>
        <w:shd w:val="clear" w:color="auto" w:fill="FFFFFF"/>
        <w:spacing w:line="576" w:lineRule="exact"/>
        <w:ind w:firstLine="640" w:firstLineChars="200"/>
        <w:jc w:val="lef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完成各项贷款余额</w:t>
      </w:r>
      <w:r>
        <w:rPr>
          <w:rFonts w:ascii="仿宋_GB2312" w:eastAsia="仿宋_GB2312"/>
          <w:sz w:val="32"/>
          <w:szCs w:val="32"/>
        </w:rPr>
        <w:t>175.79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11.2</w:t>
      </w:r>
      <w:r>
        <w:rPr>
          <w:rFonts w:hint="eastAsia" w:ascii="仿宋_GB2312" w:eastAsia="仿宋_GB2312"/>
          <w:sz w:val="32"/>
          <w:szCs w:val="32"/>
        </w:rPr>
        <w:t>%，增幅较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月末回落</w:t>
      </w:r>
      <w:r>
        <w:rPr>
          <w:rFonts w:ascii="仿宋_GB2312" w:eastAsia="仿宋_GB2312"/>
          <w:sz w:val="32"/>
          <w:szCs w:val="32"/>
        </w:rPr>
        <w:t>6.0</w:t>
      </w:r>
      <w:r>
        <w:rPr>
          <w:rFonts w:hint="eastAsia" w:ascii="仿宋_GB2312" w:eastAsia="仿宋_GB2312"/>
          <w:sz w:val="32"/>
          <w:szCs w:val="32"/>
        </w:rPr>
        <w:t>个百分点。</w:t>
      </w:r>
      <w:r>
        <w:rPr>
          <w:rFonts w:hint="eastAsia" w:ascii="华文新魏" w:eastAsia="华文新魏"/>
          <w:sz w:val="32"/>
          <w:szCs w:val="32"/>
        </w:rPr>
        <w:t>从类别看，住户贷款快速增长</w:t>
      </w:r>
      <w:r>
        <w:rPr>
          <w:rFonts w:hint="eastAsia" w:ascii="仿宋_GB2312" w:eastAsia="仿宋_GB2312"/>
          <w:sz w:val="32"/>
          <w:szCs w:val="32"/>
        </w:rPr>
        <w:t>。非金融企业及机关团体贷款</w:t>
      </w:r>
      <w:r>
        <w:rPr>
          <w:rFonts w:ascii="仿宋_GB2312" w:eastAsia="仿宋_GB2312"/>
          <w:sz w:val="32"/>
          <w:szCs w:val="32"/>
        </w:rPr>
        <w:t>90.43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7.6</w:t>
      </w:r>
      <w:r>
        <w:rPr>
          <w:rFonts w:hint="eastAsia" w:ascii="仿宋_GB2312" w:eastAsia="仿宋_GB2312"/>
          <w:sz w:val="32"/>
          <w:szCs w:val="32"/>
        </w:rPr>
        <w:t>%；住户贷款</w:t>
      </w:r>
      <w:r>
        <w:rPr>
          <w:rFonts w:ascii="仿宋_GB2312" w:eastAsia="仿宋_GB2312"/>
          <w:sz w:val="32"/>
          <w:szCs w:val="32"/>
        </w:rPr>
        <w:t>85.36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15.3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。</w:t>
      </w:r>
    </w:p>
    <w:p>
      <w:pPr>
        <w:spacing w:line="576" w:lineRule="exact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（七）城乡居民收入平稳增长</w:t>
      </w:r>
      <w:r>
        <w:rPr>
          <w:rFonts w:hint="eastAsia" w:ascii="仿宋_GB2312" w:hAnsi="仿宋" w:eastAsia="仿宋_GB2312"/>
          <w:b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全州完成全体居民人均可支配收入</w:t>
      </w:r>
      <w:r>
        <w:rPr>
          <w:rFonts w:ascii="仿宋_GB2312" w:hAnsi="仿宋" w:eastAsia="仿宋_GB2312"/>
          <w:sz w:val="32"/>
          <w:szCs w:val="32"/>
        </w:rPr>
        <w:t>23896</w:t>
      </w:r>
      <w:r>
        <w:rPr>
          <w:rFonts w:hint="eastAsia" w:ascii="仿宋_GB2312" w:hAnsi="仿宋" w:eastAsia="仿宋_GB2312"/>
          <w:sz w:val="32"/>
          <w:szCs w:val="32"/>
        </w:rPr>
        <w:t>元，同比增长</w:t>
      </w:r>
      <w:r>
        <w:rPr>
          <w:rFonts w:ascii="仿宋_GB2312" w:hAnsi="仿宋" w:eastAsia="仿宋_GB2312"/>
          <w:sz w:val="32"/>
          <w:szCs w:val="32"/>
        </w:rPr>
        <w:t>4.9</w:t>
      </w:r>
      <w:r>
        <w:rPr>
          <w:rFonts w:hint="eastAsia" w:ascii="仿宋_GB2312" w:hAnsi="仿宋" w:eastAsia="仿宋_GB2312"/>
          <w:sz w:val="32"/>
          <w:szCs w:val="32"/>
        </w:rPr>
        <w:t>%，较前三季度</w:t>
      </w:r>
      <w:r>
        <w:rPr>
          <w:rFonts w:ascii="仿宋_GB2312" w:hAnsi="仿宋" w:eastAsia="仿宋_GB2312"/>
          <w:sz w:val="32"/>
          <w:szCs w:val="32"/>
        </w:rPr>
        <w:t>回落0.6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</w:t>
      </w:r>
      <w:r>
        <w:rPr>
          <w:rFonts w:hint="eastAsia" w:ascii="仿宋_GB2312" w:hAnsi="仿宋" w:eastAsia="仿宋_GB2312"/>
          <w:sz w:val="32"/>
          <w:szCs w:val="32"/>
        </w:rPr>
        <w:t>。其中，城镇居民人均可支配收入</w:t>
      </w:r>
      <w:r>
        <w:rPr>
          <w:rFonts w:ascii="仿宋_GB2312" w:hAnsi="仿宋" w:eastAsia="仿宋_GB2312"/>
          <w:sz w:val="32"/>
          <w:szCs w:val="32"/>
        </w:rPr>
        <w:t>37466</w:t>
      </w:r>
      <w:r>
        <w:rPr>
          <w:rFonts w:hint="eastAsia" w:ascii="仿宋_GB2312" w:hAnsi="仿宋" w:eastAsia="仿宋_GB2312"/>
          <w:sz w:val="32"/>
          <w:szCs w:val="32"/>
        </w:rPr>
        <w:t>元，增长</w:t>
      </w:r>
      <w:r>
        <w:rPr>
          <w:rFonts w:ascii="仿宋_GB2312" w:hAnsi="仿宋" w:eastAsia="仿宋_GB2312"/>
          <w:sz w:val="32"/>
          <w:szCs w:val="32"/>
        </w:rPr>
        <w:t>2.6</w:t>
      </w:r>
      <w:r>
        <w:rPr>
          <w:rFonts w:hint="eastAsia" w:ascii="仿宋_GB2312" w:hAnsi="仿宋" w:eastAsia="仿宋_GB2312"/>
          <w:sz w:val="32"/>
          <w:szCs w:val="32"/>
        </w:rPr>
        <w:t>%，较前三季度</w:t>
      </w:r>
      <w:r>
        <w:rPr>
          <w:rFonts w:ascii="仿宋_GB2312" w:hAnsi="仿宋" w:eastAsia="仿宋_GB2312"/>
          <w:sz w:val="32"/>
          <w:szCs w:val="32"/>
        </w:rPr>
        <w:t>回落1.2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百分点；</w:t>
      </w:r>
      <w:r>
        <w:rPr>
          <w:rFonts w:hint="eastAsia" w:ascii="仿宋_GB2312" w:hAnsi="仿宋" w:eastAsia="仿宋_GB2312"/>
          <w:sz w:val="32"/>
          <w:szCs w:val="32"/>
        </w:rPr>
        <w:t>农村居民人均可支配收入</w:t>
      </w:r>
      <w:r>
        <w:rPr>
          <w:rFonts w:ascii="仿宋_GB2312" w:hAnsi="仿宋" w:eastAsia="仿宋_GB2312"/>
          <w:sz w:val="32"/>
          <w:szCs w:val="32"/>
        </w:rPr>
        <w:t>15634</w:t>
      </w:r>
      <w:r>
        <w:rPr>
          <w:rFonts w:hint="eastAsia" w:ascii="仿宋_GB2312" w:hAnsi="仿宋" w:eastAsia="仿宋_GB2312"/>
          <w:sz w:val="32"/>
          <w:szCs w:val="32"/>
        </w:rPr>
        <w:t>元，增长</w:t>
      </w:r>
      <w:r>
        <w:rPr>
          <w:rFonts w:ascii="仿宋_GB2312" w:hAnsi="仿宋" w:eastAsia="仿宋_GB2312"/>
          <w:sz w:val="32"/>
          <w:szCs w:val="32"/>
        </w:rPr>
        <w:t>7.0</w:t>
      </w:r>
      <w:r>
        <w:rPr>
          <w:rFonts w:hint="eastAsia" w:ascii="仿宋_GB2312" w:hAnsi="仿宋" w:eastAsia="仿宋_GB2312"/>
          <w:sz w:val="32"/>
          <w:szCs w:val="32"/>
        </w:rPr>
        <w:t>%，与前三季度持平。城乡</w:t>
      </w:r>
      <w:r>
        <w:rPr>
          <w:rFonts w:ascii="仿宋_GB2312" w:hAnsi="仿宋" w:eastAsia="仿宋_GB2312"/>
          <w:sz w:val="32"/>
          <w:szCs w:val="32"/>
        </w:rPr>
        <w:t>收入比</w:t>
      </w:r>
      <w:r>
        <w:rPr>
          <w:rFonts w:hint="eastAsia" w:ascii="仿宋_GB2312" w:hAnsi="仿宋" w:eastAsia="仿宋_GB2312"/>
          <w:sz w:val="32"/>
          <w:szCs w:val="32"/>
        </w:rPr>
        <w:t>（以农村居民人均可支配收入为1）</w:t>
      </w:r>
      <w:r>
        <w:rPr>
          <w:rFonts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2.4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较上年</w:t>
      </w:r>
      <w:r>
        <w:rPr>
          <w:rFonts w:hint="eastAsia" w:ascii="仿宋_GB2312" w:hAnsi="仿宋" w:eastAsia="仿宋_GB2312"/>
          <w:sz w:val="32"/>
          <w:szCs w:val="32"/>
        </w:rPr>
        <w:t>缩小</w:t>
      </w:r>
      <w:r>
        <w:rPr>
          <w:rFonts w:ascii="仿宋_GB2312" w:hAnsi="仿宋" w:eastAsia="仿宋_GB2312"/>
          <w:sz w:val="32"/>
          <w:szCs w:val="32"/>
        </w:rPr>
        <w:t>0.1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呈持续缩小态势，城乡收入差距</w:t>
      </w:r>
      <w:r>
        <w:rPr>
          <w:rFonts w:hint="eastAsia" w:ascii="仿宋_GB2312" w:hAnsi="仿宋" w:eastAsia="仿宋_GB2312"/>
          <w:sz w:val="32"/>
          <w:szCs w:val="32"/>
        </w:rPr>
        <w:t>逐步</w:t>
      </w:r>
      <w:r>
        <w:rPr>
          <w:rFonts w:ascii="仿宋_GB2312" w:hAnsi="仿宋" w:eastAsia="仿宋_GB2312"/>
          <w:sz w:val="32"/>
          <w:szCs w:val="32"/>
        </w:rPr>
        <w:t>缩小。</w:t>
      </w:r>
    </w:p>
    <w:p>
      <w:pPr>
        <w:spacing w:line="576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635</wp:posOffset>
            </wp:positionV>
            <wp:extent cx="5248275" cy="2163445"/>
            <wp:effectExtent l="0" t="0" r="0" b="0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华文新魏" w:hAnsi="仿宋" w:eastAsia="华文新魏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华文新魏" w:hAnsi="仿宋" w:eastAsia="华文新魏"/>
          <w:sz w:val="32"/>
          <w:szCs w:val="32"/>
        </w:rPr>
        <w:t>从</w:t>
      </w:r>
      <w:r>
        <w:rPr>
          <w:rFonts w:ascii="华文新魏" w:hAnsi="仿宋" w:eastAsia="华文新魏"/>
          <w:sz w:val="32"/>
          <w:szCs w:val="32"/>
        </w:rPr>
        <w:t>收入</w:t>
      </w:r>
      <w:r>
        <w:rPr>
          <w:rFonts w:hint="eastAsia" w:ascii="华文新魏" w:hAnsi="仿宋" w:eastAsia="华文新魏"/>
          <w:sz w:val="32"/>
          <w:szCs w:val="32"/>
        </w:rPr>
        <w:t>构成</w:t>
      </w:r>
      <w:r>
        <w:rPr>
          <w:rFonts w:ascii="华文新魏" w:hAnsi="仿宋" w:eastAsia="华文新魏"/>
          <w:sz w:val="32"/>
          <w:szCs w:val="32"/>
        </w:rPr>
        <w:t>看，</w:t>
      </w:r>
      <w:r>
        <w:rPr>
          <w:rFonts w:hint="eastAsia" w:ascii="华文新魏" w:hAnsi="仿宋" w:eastAsia="华文新魏"/>
          <w:sz w:val="32"/>
          <w:szCs w:val="32"/>
        </w:rPr>
        <w:t>工资性收入是增长主动力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，全州全体居民</w:t>
      </w:r>
      <w:r>
        <w:rPr>
          <w:rFonts w:hint="eastAsia" w:ascii="仿宋_GB2312" w:hAnsi="仿宋" w:eastAsia="仿宋_GB2312"/>
          <w:sz w:val="32"/>
          <w:szCs w:val="32"/>
        </w:rPr>
        <w:t>人均</w:t>
      </w:r>
      <w:r>
        <w:rPr>
          <w:rFonts w:ascii="仿宋_GB2312" w:hAnsi="仿宋" w:eastAsia="仿宋_GB2312"/>
          <w:sz w:val="32"/>
          <w:szCs w:val="32"/>
        </w:rPr>
        <w:t>工资性收入13246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ascii="仿宋_GB2312" w:hAnsi="仿宋" w:eastAsia="仿宋_GB2312"/>
          <w:sz w:val="32"/>
          <w:szCs w:val="32"/>
        </w:rPr>
        <w:t>，同比</w:t>
      </w:r>
      <w:r>
        <w:rPr>
          <w:rFonts w:hint="eastAsia" w:ascii="仿宋_GB2312" w:hAnsi="仿宋" w:eastAsia="仿宋_GB2312"/>
          <w:sz w:val="32"/>
          <w:szCs w:val="32"/>
        </w:rPr>
        <w:t>增长4.</w:t>
      </w:r>
      <w:r>
        <w:rPr>
          <w:rFonts w:ascii="仿宋_GB2312" w:hAnsi="仿宋" w:eastAsia="仿宋_GB2312"/>
          <w:sz w:val="32"/>
          <w:szCs w:val="32"/>
        </w:rPr>
        <w:t>5%，拉动收入增长</w:t>
      </w: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个百分点</w:t>
      </w:r>
      <w:r>
        <w:rPr>
          <w:rFonts w:ascii="仿宋_GB2312" w:hAnsi="仿宋" w:eastAsia="仿宋_GB2312"/>
          <w:sz w:val="32"/>
          <w:szCs w:val="32"/>
        </w:rPr>
        <w:t>。人均</w:t>
      </w:r>
      <w:r>
        <w:rPr>
          <w:rFonts w:hint="eastAsia" w:ascii="仿宋_GB2312" w:hAnsi="仿宋" w:eastAsia="仿宋_GB2312"/>
          <w:sz w:val="32"/>
          <w:szCs w:val="32"/>
        </w:rPr>
        <w:t>经营性</w:t>
      </w:r>
      <w:r>
        <w:rPr>
          <w:rFonts w:ascii="仿宋_GB2312" w:hAnsi="仿宋" w:eastAsia="仿宋_GB2312"/>
          <w:sz w:val="32"/>
          <w:szCs w:val="32"/>
        </w:rPr>
        <w:t>收入6630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ascii="仿宋_GB2312" w:hAnsi="仿宋" w:eastAsia="仿宋_GB2312"/>
          <w:sz w:val="32"/>
          <w:szCs w:val="32"/>
        </w:rPr>
        <w:t>4.0%，拉动收入增长</w:t>
      </w: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百分点；人均转移</w:t>
      </w:r>
      <w:r>
        <w:rPr>
          <w:rFonts w:hint="eastAsia" w:ascii="仿宋_GB2312" w:hAnsi="仿宋" w:eastAsia="仿宋_GB2312"/>
          <w:sz w:val="32"/>
          <w:szCs w:val="32"/>
        </w:rPr>
        <w:t>净</w:t>
      </w:r>
      <w:r>
        <w:rPr>
          <w:rFonts w:ascii="仿宋_GB2312" w:hAnsi="仿宋" w:eastAsia="仿宋_GB2312"/>
          <w:sz w:val="32"/>
          <w:szCs w:val="32"/>
        </w:rPr>
        <w:t>收入2963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ascii="仿宋_GB2312" w:hAnsi="仿宋" w:eastAsia="仿宋_GB2312"/>
          <w:sz w:val="32"/>
          <w:szCs w:val="32"/>
        </w:rPr>
        <w:t>，增长7</w:t>
      </w:r>
      <w:r>
        <w:rPr>
          <w:rFonts w:hint="eastAsia" w:ascii="仿宋_GB2312" w:hAnsi="仿宋" w:eastAsia="仿宋_GB2312"/>
          <w:sz w:val="32"/>
          <w:szCs w:val="32"/>
        </w:rPr>
        <w:t>.7</w:t>
      </w:r>
      <w:r>
        <w:rPr>
          <w:rFonts w:ascii="仿宋_GB2312" w:hAnsi="仿宋" w:eastAsia="仿宋_GB2312"/>
          <w:sz w:val="32"/>
          <w:szCs w:val="32"/>
        </w:rPr>
        <w:t>%，拉动收入增长0.9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ascii="仿宋_GB2312" w:hAnsi="仿宋" w:eastAsia="仿宋_GB2312"/>
          <w:sz w:val="32"/>
          <w:szCs w:val="32"/>
        </w:rPr>
        <w:t>人均</w:t>
      </w:r>
      <w:r>
        <w:rPr>
          <w:rFonts w:hint="eastAsia" w:ascii="仿宋_GB2312" w:hAnsi="仿宋" w:eastAsia="仿宋_GB2312"/>
          <w:sz w:val="32"/>
          <w:szCs w:val="32"/>
        </w:rPr>
        <w:t>财产性</w:t>
      </w:r>
      <w:r>
        <w:rPr>
          <w:rFonts w:ascii="仿宋_GB2312" w:hAnsi="仿宋" w:eastAsia="仿宋_GB2312"/>
          <w:sz w:val="32"/>
          <w:szCs w:val="32"/>
        </w:rPr>
        <w:t>收入1057</w:t>
      </w:r>
      <w:r>
        <w:rPr>
          <w:rFonts w:hint="eastAsia" w:ascii="仿宋_GB2312" w:hAnsi="仿宋" w:eastAsia="仿宋_GB2312"/>
          <w:sz w:val="32"/>
          <w:szCs w:val="32"/>
        </w:rPr>
        <w:t>元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ascii="仿宋_GB2312" w:hAnsi="仿宋" w:eastAsia="仿宋_GB2312"/>
          <w:sz w:val="32"/>
          <w:szCs w:val="32"/>
        </w:rPr>
        <w:t>7.4%，拉动收入增长0.3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ascii="仿宋_GB2312" w:hAnsi="仿宋" w:eastAsia="仿宋_GB2312"/>
          <w:sz w:val="32"/>
          <w:szCs w:val="32"/>
        </w:rPr>
        <w:t>百分点。</w:t>
      </w:r>
    </w:p>
    <w:p>
      <w:pPr>
        <w:spacing w:line="576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华文新魏" w:hAnsi="仿宋" w:eastAsia="华文新魏"/>
          <w:sz w:val="32"/>
          <w:szCs w:val="32"/>
        </w:rPr>
        <w:t>从支出分项看，农村居民消费增长好于城镇居民。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年，全州完成全体居民人均生活消费支出</w:t>
      </w:r>
      <w:r>
        <w:rPr>
          <w:rFonts w:ascii="仿宋_GB2312" w:hAnsi="仿宋" w:eastAsia="仿宋_GB2312"/>
          <w:sz w:val="32"/>
          <w:szCs w:val="32"/>
        </w:rPr>
        <w:t>14211</w:t>
      </w:r>
      <w:r>
        <w:rPr>
          <w:rFonts w:hint="eastAsia" w:ascii="仿宋_GB2312" w:hAnsi="仿宋" w:eastAsia="仿宋_GB2312"/>
          <w:sz w:val="32"/>
          <w:szCs w:val="32"/>
        </w:rPr>
        <w:t>元，同比下降10.2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。其中，城镇居民人均生活消费支出</w:t>
      </w:r>
      <w:r>
        <w:rPr>
          <w:rFonts w:ascii="仿宋_GB2312" w:hAnsi="仿宋" w:eastAsia="仿宋_GB2312"/>
          <w:sz w:val="32"/>
          <w:szCs w:val="32"/>
        </w:rPr>
        <w:t>16298</w:t>
      </w:r>
      <w:r>
        <w:rPr>
          <w:rFonts w:hint="eastAsia" w:ascii="仿宋_GB2312" w:hAnsi="仿宋" w:eastAsia="仿宋_GB2312"/>
          <w:sz w:val="32"/>
          <w:szCs w:val="32"/>
        </w:rPr>
        <w:t>元，下降</w:t>
      </w:r>
      <w:r>
        <w:rPr>
          <w:rFonts w:ascii="仿宋_GB2312" w:hAnsi="仿宋" w:eastAsia="仿宋_GB2312"/>
          <w:sz w:val="32"/>
          <w:szCs w:val="32"/>
        </w:rPr>
        <w:t>15.1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农村居民人均生活消费支出</w:t>
      </w:r>
      <w:r>
        <w:rPr>
          <w:rFonts w:ascii="仿宋_GB2312" w:hAnsi="仿宋" w:eastAsia="仿宋_GB2312"/>
          <w:sz w:val="32"/>
          <w:szCs w:val="32"/>
        </w:rPr>
        <w:t>12941</w:t>
      </w:r>
      <w:r>
        <w:rPr>
          <w:rFonts w:hint="eastAsia" w:ascii="仿宋_GB2312" w:hAnsi="仿宋" w:eastAsia="仿宋_GB2312"/>
          <w:sz w:val="32"/>
          <w:szCs w:val="32"/>
        </w:rPr>
        <w:t>元，下降6.2%。</w:t>
      </w:r>
      <w:r>
        <w:rPr>
          <w:rFonts w:ascii="仿宋_GB2312" w:hAnsi="仿宋" w:eastAsia="仿宋_GB2312"/>
          <w:sz w:val="32"/>
          <w:szCs w:val="32"/>
        </w:rPr>
        <w:t>农村</w:t>
      </w:r>
      <w:r>
        <w:rPr>
          <w:rFonts w:hint="eastAsia" w:ascii="仿宋_GB2312" w:hAnsi="仿宋" w:eastAsia="仿宋_GB2312"/>
          <w:sz w:val="32"/>
          <w:szCs w:val="32"/>
        </w:rPr>
        <w:t>居民</w:t>
      </w:r>
      <w:r>
        <w:rPr>
          <w:rFonts w:ascii="仿宋_GB2312" w:hAnsi="仿宋" w:eastAsia="仿宋_GB2312"/>
          <w:sz w:val="32"/>
          <w:szCs w:val="32"/>
        </w:rPr>
        <w:t>人均消费支出降幅低于城镇</w:t>
      </w:r>
      <w:r>
        <w:rPr>
          <w:rFonts w:hint="eastAsia" w:ascii="仿宋_GB2312" w:hAnsi="仿宋" w:eastAsia="仿宋_GB2312"/>
          <w:sz w:val="32"/>
          <w:szCs w:val="32"/>
        </w:rPr>
        <w:t>9.1个</w:t>
      </w:r>
      <w:r>
        <w:rPr>
          <w:rFonts w:ascii="仿宋_GB2312" w:hAnsi="仿宋" w:eastAsia="仿宋_GB2312"/>
          <w:sz w:val="32"/>
          <w:szCs w:val="32"/>
        </w:rPr>
        <w:t>百分点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二、需重点关注的困难问题</w:t>
      </w:r>
    </w:p>
    <w:p>
      <w:pPr>
        <w:ind w:firstLine="640" w:firstLineChars="200"/>
        <w:contextualSpacing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8月份以来，由于疫情多点复发散发，全州经济遭遇</w:t>
      </w:r>
      <w:r>
        <w:rPr>
          <w:rFonts w:ascii="仿宋_GB2312" w:hAnsi="Times New Roman" w:eastAsia="仿宋_GB2312"/>
          <w:sz w:val="32"/>
          <w:szCs w:val="32"/>
        </w:rPr>
        <w:t>创痛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ascii="仿宋_GB2312" w:hAnsi="Times New Roman" w:eastAsia="仿宋_GB2312"/>
          <w:sz w:val="32"/>
          <w:szCs w:val="32"/>
        </w:rPr>
        <w:t>主要</w:t>
      </w:r>
      <w:r>
        <w:rPr>
          <w:rFonts w:hint="eastAsia" w:ascii="仿宋_GB2312" w:hAnsi="Times New Roman" w:eastAsia="仿宋_GB2312"/>
          <w:sz w:val="32"/>
          <w:szCs w:val="32"/>
        </w:rPr>
        <w:t>指标面临预期不足、增长乏力等挑战，要实现全年经济增长目标，经济复苏步伐还需进一步加快。</w:t>
      </w:r>
    </w:p>
    <w:p>
      <w:pPr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（一）农牧业</w:t>
      </w:r>
      <w:r>
        <w:rPr>
          <w:rFonts w:ascii="楷体_GB2312" w:hAnsi="黑体" w:eastAsia="楷体_GB2312"/>
          <w:b/>
          <w:sz w:val="32"/>
          <w:szCs w:val="32"/>
        </w:rPr>
        <w:t>生产</w:t>
      </w:r>
      <w:r>
        <w:rPr>
          <w:rFonts w:hint="eastAsia" w:ascii="楷体_GB2312" w:hAnsi="黑体" w:eastAsia="楷体_GB2312"/>
          <w:b/>
          <w:sz w:val="32"/>
          <w:szCs w:val="32"/>
        </w:rPr>
        <w:t>受限</w:t>
      </w:r>
      <w:r>
        <w:rPr>
          <w:rFonts w:ascii="楷体_GB2312" w:hAnsi="黑体" w:eastAsia="楷体_GB2312"/>
          <w:b/>
          <w:sz w:val="32"/>
          <w:szCs w:val="32"/>
        </w:rPr>
        <w:t>明显。</w:t>
      </w:r>
      <w:r>
        <w:rPr>
          <w:rFonts w:hint="eastAsia" w:ascii="仿宋_GB2312" w:hAnsi="黑体" w:eastAsia="仿宋_GB2312"/>
          <w:sz w:val="32"/>
          <w:szCs w:val="32"/>
        </w:rPr>
        <w:t>今年以来，受疫情影响，</w:t>
      </w:r>
      <w:r>
        <w:rPr>
          <w:rFonts w:ascii="仿宋_GB2312" w:hAnsi="黑体" w:eastAsia="仿宋_GB2312"/>
          <w:sz w:val="32"/>
          <w:szCs w:val="32"/>
        </w:rPr>
        <w:t>蔬菜大棚种植面积下降，</w:t>
      </w:r>
      <w:r>
        <w:rPr>
          <w:rFonts w:hint="eastAsia" w:ascii="仿宋_GB2312" w:hAnsi="黑体" w:eastAsia="仿宋_GB2312"/>
          <w:sz w:val="32"/>
          <w:szCs w:val="32"/>
        </w:rPr>
        <w:t>蔬菜</w:t>
      </w:r>
      <w:r>
        <w:rPr>
          <w:rFonts w:ascii="仿宋_GB2312" w:hAnsi="黑体" w:eastAsia="仿宋_GB2312"/>
          <w:sz w:val="32"/>
          <w:szCs w:val="32"/>
        </w:rPr>
        <w:t>种植效益低。同时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由于疫情防控、道路封闭、收购商减少等原因导致</w:t>
      </w:r>
      <w:r>
        <w:rPr>
          <w:rFonts w:ascii="仿宋_GB2312" w:eastAsia="仿宋_GB2312"/>
          <w:sz w:val="32"/>
          <w:szCs w:val="32"/>
        </w:rPr>
        <w:t>牛羊出</w:t>
      </w:r>
      <w:r>
        <w:rPr>
          <w:rFonts w:hint="eastAsia" w:ascii="仿宋_GB2312" w:eastAsia="仿宋_GB2312"/>
          <w:sz w:val="32"/>
          <w:szCs w:val="32"/>
        </w:rPr>
        <w:t>售</w:t>
      </w:r>
      <w:r>
        <w:rPr>
          <w:rFonts w:ascii="仿宋_GB2312" w:eastAsia="仿宋_GB2312"/>
          <w:sz w:val="32"/>
          <w:szCs w:val="32"/>
        </w:rPr>
        <w:t>价格明显低于往</w:t>
      </w:r>
      <w:r>
        <w:rPr>
          <w:rFonts w:hint="eastAsia" w:ascii="仿宋_GB2312" w:eastAsia="仿宋_GB2312"/>
          <w:sz w:val="32"/>
          <w:szCs w:val="32"/>
        </w:rPr>
        <w:t>期，牛羊出栏下降</w:t>
      </w:r>
      <w:r>
        <w:rPr>
          <w:rFonts w:hint="eastAsia" w:ascii="仿宋_GB2312" w:hAnsi="黑体" w:eastAsia="仿宋_GB2312"/>
          <w:sz w:val="32"/>
          <w:szCs w:val="32"/>
        </w:rPr>
        <w:t>。加上</w:t>
      </w:r>
      <w:r>
        <w:rPr>
          <w:rFonts w:hint="eastAsia" w:ascii="仿宋_GB2312" w:eastAsia="仿宋_GB2312"/>
          <w:sz w:val="32"/>
          <w:szCs w:val="32"/>
        </w:rPr>
        <w:t>饲草、草山承包费用上涨使生产成本增加，牲畜出售渠道不畅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一定程度</w:t>
      </w:r>
      <w:r>
        <w:rPr>
          <w:rFonts w:ascii="仿宋_GB2312" w:eastAsia="仿宋_GB2312"/>
          <w:sz w:val="32"/>
          <w:szCs w:val="32"/>
        </w:rPr>
        <w:t>上影响了</w:t>
      </w:r>
      <w:r>
        <w:rPr>
          <w:rFonts w:hint="eastAsia" w:ascii="仿宋_GB2312" w:eastAsia="仿宋_GB2312"/>
          <w:sz w:val="32"/>
          <w:szCs w:val="32"/>
        </w:rPr>
        <w:t>农牧民收入的稳定增长。</w:t>
      </w:r>
    </w:p>
    <w:p>
      <w:pPr>
        <w:ind w:firstLine="642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</w:t>
      </w:r>
      <w:r>
        <w:rPr>
          <w:rFonts w:hint="eastAsia" w:ascii="楷体_GB2312" w:eastAsia="楷体_GB2312"/>
          <w:b/>
          <w:sz w:val="32"/>
          <w:szCs w:val="32"/>
        </w:rPr>
        <w:t>第二产业抵御</w:t>
      </w:r>
      <w:r>
        <w:rPr>
          <w:rFonts w:ascii="楷体_GB2312" w:eastAsia="楷体_GB2312"/>
          <w:b/>
          <w:sz w:val="32"/>
          <w:szCs w:val="32"/>
        </w:rPr>
        <w:t>风险的能力</w:t>
      </w:r>
      <w:r>
        <w:rPr>
          <w:rFonts w:hint="eastAsia" w:ascii="楷体_GB2312" w:eastAsia="楷体_GB2312"/>
          <w:b/>
          <w:sz w:val="32"/>
          <w:szCs w:val="32"/>
        </w:rPr>
        <w:t>较弱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受宏观环境和区域条件制约，全州经济稳定运行的基础还不牢固，</w:t>
      </w:r>
      <w:r>
        <w:rPr>
          <w:rFonts w:ascii="仿宋_GB2312" w:eastAsia="仿宋_GB2312"/>
          <w:sz w:val="32"/>
          <w:szCs w:val="32"/>
        </w:rPr>
        <w:t>集中表现在第二产业</w:t>
      </w:r>
      <w:r>
        <w:rPr>
          <w:rFonts w:hint="eastAsia" w:ascii="仿宋_GB2312" w:eastAsia="仿宋_GB2312"/>
          <w:sz w:val="32"/>
          <w:szCs w:val="32"/>
        </w:rPr>
        <w:t>对新能源及</w:t>
      </w:r>
      <w:r>
        <w:rPr>
          <w:rFonts w:ascii="仿宋_GB2312" w:eastAsia="仿宋_GB2312"/>
          <w:sz w:val="32"/>
          <w:szCs w:val="32"/>
        </w:rPr>
        <w:t>电力生产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的依赖度过高</w:t>
      </w:r>
      <w:r>
        <w:rPr>
          <w:rFonts w:hint="eastAsia" w:ascii="仿宋_GB2312" w:eastAsia="仿宋_GB2312"/>
          <w:sz w:val="32"/>
          <w:szCs w:val="32"/>
        </w:rPr>
        <w:t>，导致第二产业抗御风险的能力较弱。尤其</w:t>
      </w:r>
      <w:r>
        <w:rPr>
          <w:rFonts w:ascii="仿宋_GB2312" w:eastAsia="仿宋_GB2312"/>
          <w:sz w:val="32"/>
          <w:szCs w:val="32"/>
        </w:rPr>
        <w:t>是受上游来水等因素影响，</w:t>
      </w:r>
      <w:r>
        <w:rPr>
          <w:rFonts w:hint="eastAsia" w:ascii="仿宋_GB2312" w:eastAsia="仿宋_GB2312"/>
          <w:sz w:val="32"/>
          <w:szCs w:val="32"/>
        </w:rPr>
        <w:t>规模以上</w:t>
      </w:r>
      <w:r>
        <w:rPr>
          <w:rFonts w:ascii="仿宋_GB2312" w:eastAsia="仿宋_GB2312"/>
          <w:sz w:val="32"/>
          <w:szCs w:val="32"/>
        </w:rPr>
        <w:t>水电行业发电量逐月减少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使规模以上工</w:t>
      </w:r>
      <w:r>
        <w:rPr>
          <w:rFonts w:hint="eastAsia" w:ascii="仿宋_GB2312" w:eastAsia="仿宋_GB2312"/>
          <w:sz w:val="32"/>
          <w:szCs w:val="32"/>
        </w:rPr>
        <w:t>业增加值</w:t>
      </w:r>
      <w:r>
        <w:rPr>
          <w:rFonts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</w:rPr>
        <w:t>5月份</w:t>
      </w:r>
      <w:r>
        <w:rPr>
          <w:rFonts w:ascii="仿宋_GB2312" w:eastAsia="仿宋_GB2312"/>
          <w:sz w:val="32"/>
          <w:szCs w:val="32"/>
        </w:rPr>
        <w:t>起，连续8</w:t>
      </w:r>
      <w:r>
        <w:rPr>
          <w:rFonts w:hint="eastAsia" w:ascii="仿宋_GB2312" w:eastAsia="仿宋_GB2312"/>
          <w:sz w:val="32"/>
          <w:szCs w:val="32"/>
        </w:rPr>
        <w:t>个月</w:t>
      </w:r>
      <w:r>
        <w:rPr>
          <w:rFonts w:ascii="仿宋_GB2312" w:eastAsia="仿宋_GB2312"/>
          <w:sz w:val="32"/>
          <w:szCs w:val="32"/>
        </w:rPr>
        <w:t>持续下降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直接影响第二产业增长。</w:t>
      </w:r>
    </w:p>
    <w:p>
      <w:pPr>
        <w:widowControl/>
        <w:shd w:val="clear" w:color="auto" w:fill="FFFFFF"/>
        <w:spacing w:line="576" w:lineRule="exact"/>
        <w:ind w:firstLine="48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（三）服务业转型升级进程缓慢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全州限额以上企业主导地位不突出，企业数量少、规模小、比重低，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抵御政策变动因素、经济下行压力等风险能力弱</w:t>
      </w:r>
      <w:r>
        <w:rPr>
          <w:rFonts w:hint="eastAsia" w:ascii="仿宋_GB2312" w:eastAsia="仿宋_GB2312"/>
          <w:sz w:val="32"/>
          <w:szCs w:val="32"/>
        </w:rPr>
        <w:t>。加之网上购物冲击，以及受</w:t>
      </w:r>
      <w:r>
        <w:rPr>
          <w:rFonts w:ascii="仿宋_GB2312" w:eastAsia="仿宋_GB2312"/>
          <w:sz w:val="32"/>
          <w:szCs w:val="32"/>
        </w:rPr>
        <w:t>疫情影响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居民收入预期不确定性增加，非刚需消费意愿减弱。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三、下一步工作建议</w:t>
      </w:r>
    </w:p>
    <w:p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下一步，</w:t>
      </w:r>
      <w:r>
        <w:rPr>
          <w:rFonts w:hint="eastAsia" w:ascii="仿宋_GB2312" w:hAnsi="Times New Roman" w:eastAsia="仿宋_GB2312"/>
          <w:sz w:val="32"/>
        </w:rPr>
        <w:t>全州应在持续巩固疫情防控成果的基础上，紧紧围绕全年目标任务，加大各项惠民惠企政策落地落实，增强企业发展信心，激发市场主体活力，筑稳经济恢复根基，确保经济运行在合理区间。</w:t>
      </w:r>
    </w:p>
    <w:p>
      <w:pPr>
        <w:ind w:firstLine="642" w:firstLineChars="200"/>
        <w:rPr>
          <w:rFonts w:ascii="仿宋_GB2312" w:hAnsi="Times New Roman" w:eastAsia="仿宋_GB2312"/>
          <w:sz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hAnsi="Times New Roman" w:eastAsia="楷体_GB2312"/>
          <w:b/>
          <w:sz w:val="32"/>
        </w:rPr>
        <w:t>坚持稳中求进，促进农牧业平稳</w:t>
      </w:r>
      <w:r>
        <w:rPr>
          <w:rFonts w:ascii="楷体_GB2312" w:hAnsi="Times New Roman" w:eastAsia="楷体_GB2312"/>
          <w:b/>
          <w:sz w:val="32"/>
        </w:rPr>
        <w:t>发展</w:t>
      </w:r>
      <w:r>
        <w:rPr>
          <w:rFonts w:hint="eastAsia" w:ascii="仿宋_GB2312" w:hAnsi="Times New Roman" w:eastAsia="仿宋_GB2312"/>
          <w:sz w:val="32"/>
        </w:rPr>
        <w:t>。全面</w:t>
      </w:r>
      <w:r>
        <w:rPr>
          <w:rFonts w:ascii="仿宋_GB2312" w:hAnsi="Times New Roman" w:eastAsia="仿宋_GB2312"/>
          <w:sz w:val="32"/>
        </w:rPr>
        <w:t>实施乡村振兴“</w:t>
      </w:r>
      <w:r>
        <w:rPr>
          <w:rFonts w:hint="eastAsia" w:ascii="仿宋_GB2312" w:hAnsi="Times New Roman" w:eastAsia="仿宋_GB2312"/>
          <w:sz w:val="32"/>
        </w:rPr>
        <w:t>八大</w:t>
      </w:r>
      <w:r>
        <w:rPr>
          <w:rFonts w:ascii="仿宋_GB2312" w:hAnsi="Times New Roman" w:eastAsia="仿宋_GB2312"/>
          <w:sz w:val="32"/>
        </w:rPr>
        <w:t>行动”</w:t>
      </w:r>
      <w:r>
        <w:rPr>
          <w:rFonts w:hint="eastAsia" w:ascii="仿宋_GB2312" w:hAnsi="Times New Roman" w:eastAsia="仿宋_GB2312"/>
          <w:sz w:val="32"/>
        </w:rPr>
        <w:t>，</w:t>
      </w:r>
      <w:r>
        <w:rPr>
          <w:rFonts w:ascii="仿宋_GB2312" w:hAnsi="Times New Roman" w:eastAsia="仿宋_GB2312"/>
          <w:sz w:val="32"/>
        </w:rPr>
        <w:t>扎实推进农业发展稳基础提效益。统筹</w:t>
      </w:r>
      <w:r>
        <w:rPr>
          <w:rFonts w:hint="eastAsia" w:ascii="仿宋_GB2312" w:hAnsi="Times New Roman" w:eastAsia="仿宋_GB2312"/>
          <w:sz w:val="32"/>
        </w:rPr>
        <w:t>整合</w:t>
      </w:r>
      <w:r>
        <w:rPr>
          <w:rFonts w:ascii="仿宋_GB2312" w:hAnsi="Times New Roman" w:eastAsia="仿宋_GB2312"/>
          <w:sz w:val="32"/>
        </w:rPr>
        <w:t>各类涉农资金，打造一批生产能力强、加工增值潜力大的农牧业产业基地和农畜产品供给基地</w:t>
      </w:r>
      <w:r>
        <w:rPr>
          <w:rFonts w:hint="eastAsia" w:ascii="仿宋_GB2312" w:hAnsi="Times New Roman" w:eastAsia="仿宋_GB2312"/>
          <w:sz w:val="32"/>
        </w:rPr>
        <w:t>。发挥</w:t>
      </w:r>
      <w:r>
        <w:rPr>
          <w:rFonts w:ascii="仿宋_GB2312" w:hAnsi="Times New Roman" w:eastAsia="仿宋_GB2312"/>
          <w:sz w:val="32"/>
        </w:rPr>
        <w:t>政府主导</w:t>
      </w:r>
      <w:r>
        <w:rPr>
          <w:rFonts w:hint="eastAsia" w:ascii="仿宋_GB2312" w:hAnsi="Times New Roman" w:eastAsia="仿宋_GB2312"/>
          <w:sz w:val="32"/>
        </w:rPr>
        <w:t>职能</w:t>
      </w:r>
      <w:r>
        <w:rPr>
          <w:rFonts w:ascii="仿宋_GB2312" w:hAnsi="Times New Roman" w:eastAsia="仿宋_GB2312"/>
          <w:sz w:val="32"/>
        </w:rPr>
        <w:t>，</w:t>
      </w:r>
      <w:r>
        <w:rPr>
          <w:rFonts w:hint="eastAsia" w:ascii="仿宋_GB2312" w:hAnsi="Times New Roman" w:eastAsia="仿宋_GB2312"/>
          <w:sz w:val="32"/>
        </w:rPr>
        <w:t>聚焦重点问题开展精准服务，全力帮助产业主体特别是农牧户</w:t>
      </w:r>
      <w:r>
        <w:rPr>
          <w:rFonts w:ascii="仿宋_GB2312" w:hAnsi="Times New Roman" w:eastAsia="仿宋_GB2312"/>
          <w:sz w:val="32"/>
        </w:rPr>
        <w:t>、专业组织、</w:t>
      </w:r>
      <w:r>
        <w:rPr>
          <w:rFonts w:hint="eastAsia" w:ascii="仿宋_GB2312" w:hAnsi="Times New Roman" w:eastAsia="仿宋_GB2312"/>
          <w:sz w:val="32"/>
        </w:rPr>
        <w:t>中小企业渡过难关、恢复发展、提振信心。加大惠农政策制定、</w:t>
      </w:r>
      <w:r>
        <w:rPr>
          <w:rFonts w:ascii="仿宋_GB2312" w:hAnsi="Times New Roman" w:eastAsia="仿宋_GB2312"/>
          <w:sz w:val="32"/>
        </w:rPr>
        <w:t>宣传</w:t>
      </w:r>
      <w:r>
        <w:rPr>
          <w:rFonts w:hint="eastAsia" w:ascii="仿宋_GB2312" w:hAnsi="Times New Roman" w:eastAsia="仿宋_GB2312"/>
          <w:sz w:val="32"/>
        </w:rPr>
        <w:t>力度，大力提高政策兑现的便利度，做好政策落地的最后一公里，让广大农牧户</w:t>
      </w:r>
      <w:r>
        <w:rPr>
          <w:rFonts w:ascii="仿宋_GB2312" w:hAnsi="Times New Roman" w:eastAsia="仿宋_GB2312"/>
          <w:sz w:val="32"/>
        </w:rPr>
        <w:t>、</w:t>
      </w:r>
      <w:r>
        <w:rPr>
          <w:rFonts w:hint="eastAsia" w:ascii="仿宋_GB2312" w:hAnsi="Times New Roman" w:eastAsia="仿宋_GB2312"/>
          <w:sz w:val="32"/>
        </w:rPr>
        <w:t>专业</w:t>
      </w:r>
      <w:r>
        <w:rPr>
          <w:rFonts w:ascii="仿宋_GB2312" w:hAnsi="Times New Roman" w:eastAsia="仿宋_GB2312"/>
          <w:sz w:val="32"/>
        </w:rPr>
        <w:t>组织、</w:t>
      </w:r>
      <w:r>
        <w:rPr>
          <w:rFonts w:hint="eastAsia" w:ascii="仿宋_GB2312" w:hAnsi="Times New Roman" w:eastAsia="仿宋_GB2312"/>
          <w:sz w:val="32"/>
        </w:rPr>
        <w:t>企业知晓并获得实实在在的政策利好。</w:t>
      </w:r>
    </w:p>
    <w:p>
      <w:pPr>
        <w:spacing w:line="576" w:lineRule="exact"/>
        <w:ind w:firstLine="642" w:firstLineChars="200"/>
        <w:rPr>
          <w:rFonts w:ascii="仿宋_GB2312" w:hAnsi="Times New Roman" w:eastAsia="仿宋_GB2312"/>
          <w:sz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</w:t>
      </w:r>
      <w:r>
        <w:rPr>
          <w:rFonts w:hint="eastAsia" w:ascii="楷体_GB2312" w:hAnsi="Times New Roman" w:eastAsia="楷体_GB2312"/>
          <w:b/>
          <w:sz w:val="32"/>
        </w:rPr>
        <w:t>坚持提振</w:t>
      </w:r>
      <w:r>
        <w:rPr>
          <w:rFonts w:ascii="楷体_GB2312" w:hAnsi="Times New Roman" w:eastAsia="楷体_GB2312"/>
          <w:b/>
          <w:sz w:val="32"/>
        </w:rPr>
        <w:t>信心</w:t>
      </w:r>
      <w:r>
        <w:rPr>
          <w:rFonts w:hint="eastAsia" w:ascii="楷体_GB2312" w:hAnsi="Times New Roman" w:eastAsia="楷体_GB2312"/>
          <w:b/>
          <w:sz w:val="32"/>
        </w:rPr>
        <w:t>，力促</w:t>
      </w:r>
      <w:r>
        <w:rPr>
          <w:rFonts w:ascii="楷体_GB2312" w:hAnsi="Times New Roman" w:eastAsia="楷体_GB2312"/>
          <w:b/>
          <w:sz w:val="32"/>
        </w:rPr>
        <w:t>主</w:t>
      </w:r>
      <w:r>
        <w:rPr>
          <w:rFonts w:hint="eastAsia" w:ascii="楷体_GB2312" w:hAnsi="Times New Roman" w:eastAsia="楷体_GB2312"/>
          <w:b/>
          <w:sz w:val="32"/>
        </w:rPr>
        <w:t>体</w:t>
      </w:r>
      <w:r>
        <w:rPr>
          <w:rFonts w:ascii="楷体_GB2312" w:hAnsi="Times New Roman" w:eastAsia="楷体_GB2312"/>
          <w:b/>
          <w:sz w:val="32"/>
        </w:rPr>
        <w:t>产业回升向好</w:t>
      </w:r>
      <w:r>
        <w:rPr>
          <w:rFonts w:hint="eastAsia" w:ascii="仿宋_GB2312" w:hAnsi="Times New Roman" w:eastAsia="仿宋_GB2312"/>
          <w:sz w:val="32"/>
        </w:rPr>
        <w:t>。协调</w:t>
      </w:r>
      <w:r>
        <w:rPr>
          <w:rFonts w:ascii="仿宋_GB2312" w:hAnsi="Times New Roman" w:eastAsia="仿宋_GB2312"/>
          <w:sz w:val="32"/>
        </w:rPr>
        <w:t>加快电网建设进程，督促发电企业平稳生产，全力</w:t>
      </w:r>
      <w:r>
        <w:rPr>
          <w:rFonts w:hint="eastAsia" w:ascii="仿宋_GB2312" w:hAnsi="Times New Roman" w:eastAsia="仿宋_GB2312"/>
          <w:sz w:val="32"/>
        </w:rPr>
        <w:t>促进</w:t>
      </w:r>
      <w:r>
        <w:rPr>
          <w:rFonts w:ascii="仿宋_GB2312" w:hAnsi="Times New Roman" w:eastAsia="仿宋_GB2312"/>
          <w:sz w:val="32"/>
        </w:rPr>
        <w:t>工业</w:t>
      </w:r>
      <w:r>
        <w:rPr>
          <w:rFonts w:hint="eastAsia" w:ascii="仿宋_GB2312" w:hAnsi="Times New Roman" w:eastAsia="仿宋_GB2312"/>
          <w:sz w:val="32"/>
        </w:rPr>
        <w:t>经济回升</w:t>
      </w:r>
      <w:r>
        <w:rPr>
          <w:rFonts w:ascii="仿宋_GB2312" w:hAnsi="Times New Roman" w:eastAsia="仿宋_GB2312"/>
          <w:sz w:val="32"/>
        </w:rPr>
        <w:t>。加快</w:t>
      </w:r>
      <w:r>
        <w:rPr>
          <w:rFonts w:hint="eastAsia" w:ascii="仿宋_GB2312" w:hAnsi="Times New Roman" w:eastAsia="仿宋_GB2312"/>
          <w:sz w:val="32"/>
        </w:rPr>
        <w:t>培育</w:t>
      </w:r>
      <w:r>
        <w:rPr>
          <w:rFonts w:ascii="仿宋_GB2312" w:hAnsi="Times New Roman" w:eastAsia="仿宋_GB2312"/>
          <w:sz w:val="32"/>
        </w:rPr>
        <w:t>具有市场竞争力的龙头企业和生态主导型优质企业，提升产业配套能力，保证产业链供应链稳定。</w:t>
      </w:r>
      <w:r>
        <w:rPr>
          <w:rFonts w:hint="eastAsia" w:ascii="仿宋_GB2312" w:hAnsi="Times New Roman" w:eastAsia="仿宋_GB2312"/>
          <w:sz w:val="32"/>
        </w:rPr>
        <w:t>围绕补短板、增后劲的重点项目加强规划、储备、实施，加大招商引资力度，全力招引储备一批优质大项目。对重点项目建设中遇到的问题和困难，要积极协调帮助解决，推动项目早日投产达效。</w:t>
      </w:r>
    </w:p>
    <w:p>
      <w:pPr>
        <w:ind w:firstLine="642" w:firstLineChars="200"/>
        <w:rPr>
          <w:rFonts w:ascii="仿宋_GB2312" w:hAnsi="Times New Roman" w:eastAsia="仿宋_GB2312"/>
          <w:sz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</w:t>
      </w:r>
      <w:r>
        <w:rPr>
          <w:rFonts w:hint="eastAsia" w:ascii="楷体_GB2312" w:hAnsi="Times New Roman" w:eastAsia="楷体_GB2312"/>
          <w:b/>
          <w:sz w:val="32"/>
        </w:rPr>
        <w:t>坚持多措</w:t>
      </w:r>
      <w:r>
        <w:rPr>
          <w:rFonts w:ascii="楷体_GB2312" w:hAnsi="Times New Roman" w:eastAsia="楷体_GB2312"/>
          <w:b/>
          <w:sz w:val="32"/>
        </w:rPr>
        <w:t>并举</w:t>
      </w:r>
      <w:r>
        <w:rPr>
          <w:rFonts w:hint="eastAsia" w:ascii="楷体_GB2312" w:hAnsi="Times New Roman" w:eastAsia="楷体_GB2312"/>
          <w:b/>
          <w:sz w:val="32"/>
        </w:rPr>
        <w:t>，激发经济</w:t>
      </w:r>
      <w:r>
        <w:rPr>
          <w:rFonts w:ascii="楷体_GB2312" w:hAnsi="Times New Roman" w:eastAsia="楷体_GB2312"/>
          <w:b/>
          <w:sz w:val="32"/>
        </w:rPr>
        <w:t>增长动力活力</w:t>
      </w:r>
      <w:r>
        <w:rPr>
          <w:rFonts w:hint="eastAsia" w:ascii="仿宋_GB2312" w:hAnsi="Times New Roman" w:eastAsia="仿宋_GB2312"/>
          <w:sz w:val="32"/>
        </w:rPr>
        <w:t>。深入</w:t>
      </w:r>
      <w:r>
        <w:rPr>
          <w:rFonts w:ascii="仿宋_GB2312" w:hAnsi="Times New Roman" w:eastAsia="仿宋_GB2312"/>
          <w:sz w:val="32"/>
        </w:rPr>
        <w:t>推进消费方式创新，不断</w:t>
      </w:r>
      <w:r>
        <w:rPr>
          <w:rFonts w:hint="eastAsia" w:ascii="仿宋_GB2312" w:hAnsi="Times New Roman" w:eastAsia="仿宋_GB2312"/>
          <w:sz w:val="32"/>
        </w:rPr>
        <w:t>激发</w:t>
      </w:r>
      <w:r>
        <w:rPr>
          <w:rFonts w:ascii="仿宋_GB2312" w:hAnsi="Times New Roman" w:eastAsia="仿宋_GB2312"/>
          <w:sz w:val="32"/>
        </w:rPr>
        <w:t>市场</w:t>
      </w:r>
      <w:r>
        <w:rPr>
          <w:rFonts w:hint="eastAsia" w:ascii="仿宋_GB2312" w:hAnsi="Times New Roman" w:eastAsia="仿宋_GB2312"/>
          <w:sz w:val="32"/>
        </w:rPr>
        <w:t>主体</w:t>
      </w:r>
      <w:r>
        <w:rPr>
          <w:rFonts w:ascii="仿宋_GB2312" w:hAnsi="Times New Roman" w:eastAsia="仿宋_GB2312"/>
          <w:sz w:val="32"/>
        </w:rPr>
        <w:t>活力</w:t>
      </w:r>
      <w:r>
        <w:rPr>
          <w:rFonts w:hint="eastAsia" w:ascii="仿宋_GB2312" w:hAnsi="Times New Roman" w:eastAsia="仿宋_GB2312"/>
          <w:sz w:val="32"/>
        </w:rPr>
        <w:t>。</w:t>
      </w:r>
      <w:r>
        <w:rPr>
          <w:rFonts w:ascii="仿宋_GB2312" w:hAnsi="Times New Roman" w:eastAsia="仿宋_GB2312"/>
          <w:sz w:val="32"/>
        </w:rPr>
        <w:t>强化</w:t>
      </w:r>
      <w:r>
        <w:rPr>
          <w:rFonts w:hint="eastAsia" w:ascii="仿宋_GB2312" w:hAnsi="Times New Roman" w:eastAsia="仿宋_GB2312"/>
          <w:sz w:val="32"/>
        </w:rPr>
        <w:t>政企</w:t>
      </w:r>
      <w:r>
        <w:rPr>
          <w:rFonts w:ascii="仿宋_GB2312" w:hAnsi="Times New Roman" w:eastAsia="仿宋_GB2312"/>
          <w:sz w:val="32"/>
        </w:rPr>
        <w:t>联手、区域联动，精准对接消费需求，</w:t>
      </w:r>
      <w:r>
        <w:rPr>
          <w:rFonts w:hint="eastAsia" w:ascii="仿宋_GB2312" w:hAnsi="Times New Roman" w:eastAsia="仿宋_GB2312"/>
          <w:sz w:val="32"/>
        </w:rPr>
        <w:t>不断</w:t>
      </w:r>
      <w:r>
        <w:rPr>
          <w:rFonts w:ascii="仿宋_GB2312" w:hAnsi="Times New Roman" w:eastAsia="仿宋_GB2312"/>
          <w:sz w:val="32"/>
        </w:rPr>
        <w:t>推出重点突出</w:t>
      </w:r>
      <w:r>
        <w:rPr>
          <w:rFonts w:hint="eastAsia" w:ascii="仿宋_GB2312" w:hAnsi="Times New Roman" w:eastAsia="仿宋_GB2312"/>
          <w:sz w:val="32"/>
        </w:rPr>
        <w:t>、</w:t>
      </w:r>
      <w:r>
        <w:rPr>
          <w:rFonts w:ascii="仿宋_GB2312" w:hAnsi="Times New Roman" w:eastAsia="仿宋_GB2312"/>
          <w:sz w:val="32"/>
        </w:rPr>
        <w:t>特色鲜明的主题促</w:t>
      </w:r>
      <w:r>
        <w:rPr>
          <w:rFonts w:hint="eastAsia" w:ascii="仿宋_GB2312" w:hAnsi="Times New Roman" w:eastAsia="仿宋_GB2312"/>
          <w:sz w:val="32"/>
        </w:rPr>
        <w:t>消费</w:t>
      </w:r>
      <w:r>
        <w:rPr>
          <w:rFonts w:ascii="仿宋_GB2312" w:hAnsi="Times New Roman" w:eastAsia="仿宋_GB2312"/>
          <w:sz w:val="32"/>
        </w:rPr>
        <w:t>活动。</w:t>
      </w:r>
      <w:r>
        <w:rPr>
          <w:rFonts w:hint="eastAsia" w:ascii="仿宋_GB2312" w:hAnsi="Times New Roman" w:eastAsia="仿宋_GB2312"/>
          <w:sz w:val="32"/>
        </w:rPr>
        <w:t>培育</w:t>
      </w:r>
      <w:r>
        <w:rPr>
          <w:rFonts w:ascii="仿宋_GB2312" w:hAnsi="Times New Roman" w:eastAsia="仿宋_GB2312"/>
          <w:sz w:val="32"/>
        </w:rPr>
        <w:t>定制消费，满足消费者品质</w:t>
      </w:r>
      <w:r>
        <w:rPr>
          <w:rFonts w:hint="eastAsia" w:ascii="仿宋_GB2312" w:hAnsi="Times New Roman" w:eastAsia="仿宋_GB2312"/>
          <w:sz w:val="32"/>
        </w:rPr>
        <w:t>化</w:t>
      </w:r>
      <w:r>
        <w:rPr>
          <w:rFonts w:ascii="仿宋_GB2312" w:hAnsi="Times New Roman" w:eastAsia="仿宋_GB2312"/>
          <w:sz w:val="32"/>
        </w:rPr>
        <w:t>、个性化</w:t>
      </w:r>
      <w:r>
        <w:rPr>
          <w:rFonts w:hint="eastAsia" w:ascii="仿宋_GB2312" w:hAnsi="Times New Roman" w:eastAsia="仿宋_GB2312"/>
          <w:sz w:val="32"/>
        </w:rPr>
        <w:t>消费</w:t>
      </w:r>
      <w:r>
        <w:rPr>
          <w:rFonts w:ascii="仿宋_GB2312" w:hAnsi="Times New Roman" w:eastAsia="仿宋_GB2312"/>
          <w:sz w:val="32"/>
        </w:rPr>
        <w:t>需求。</w:t>
      </w:r>
      <w:r>
        <w:rPr>
          <w:rFonts w:hint="eastAsia" w:ascii="仿宋_GB2312" w:hAnsi="Times New Roman" w:eastAsia="仿宋_GB2312"/>
          <w:sz w:val="32"/>
        </w:rPr>
        <w:t>深挖文旅消费潜力，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鼓励职工、群众积极开展辖区内乡村游、休假游，推动消费品市场的快速回暖。促进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居民收入稳定增长，以产业、就业带动工资性收入稳步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增长。</w:t>
      </w:r>
      <w:r>
        <w:rPr>
          <w:rFonts w:hint="eastAsia" w:ascii="仿宋_GB2312" w:hAnsi="Times New Roman" w:eastAsia="仿宋_GB2312"/>
          <w:sz w:val="32"/>
        </w:rPr>
        <w:t>抓好</w:t>
      </w:r>
      <w:r>
        <w:rPr>
          <w:rFonts w:ascii="仿宋_GB2312" w:hAnsi="Times New Roman" w:eastAsia="仿宋_GB2312"/>
          <w:sz w:val="32"/>
        </w:rPr>
        <w:t>市场保供</w:t>
      </w:r>
      <w:r>
        <w:rPr>
          <w:rFonts w:hint="eastAsia" w:ascii="仿宋_GB2312" w:hAnsi="Times New Roman" w:eastAsia="仿宋_GB2312"/>
          <w:sz w:val="32"/>
        </w:rPr>
        <w:t>稳价，</w:t>
      </w:r>
      <w:r>
        <w:rPr>
          <w:rFonts w:ascii="仿宋_GB2312" w:hAnsi="Times New Roman" w:eastAsia="仿宋_GB2312"/>
          <w:sz w:val="32"/>
        </w:rPr>
        <w:t>保持物价水平基本稳定。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33A7"/>
    <w:multiLevelType w:val="multilevel"/>
    <w:tmpl w:val="024133A7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17"/>
    <w:rsid w:val="000774FF"/>
    <w:rsid w:val="00080BA5"/>
    <w:rsid w:val="000D672B"/>
    <w:rsid w:val="000E39EF"/>
    <w:rsid w:val="000E7EBF"/>
    <w:rsid w:val="00120EBD"/>
    <w:rsid w:val="001343B1"/>
    <w:rsid w:val="0015323E"/>
    <w:rsid w:val="0016548D"/>
    <w:rsid w:val="001D0A7C"/>
    <w:rsid w:val="001E0F33"/>
    <w:rsid w:val="001F6608"/>
    <w:rsid w:val="0021075D"/>
    <w:rsid w:val="002360DE"/>
    <w:rsid w:val="0028389A"/>
    <w:rsid w:val="00294D0F"/>
    <w:rsid w:val="002A6348"/>
    <w:rsid w:val="00314B98"/>
    <w:rsid w:val="00347ACE"/>
    <w:rsid w:val="0038648F"/>
    <w:rsid w:val="003C1412"/>
    <w:rsid w:val="003D09FE"/>
    <w:rsid w:val="003E5A6F"/>
    <w:rsid w:val="003F099D"/>
    <w:rsid w:val="0046232D"/>
    <w:rsid w:val="004D661B"/>
    <w:rsid w:val="004E01CD"/>
    <w:rsid w:val="004E54AC"/>
    <w:rsid w:val="004F52F4"/>
    <w:rsid w:val="00517952"/>
    <w:rsid w:val="00521CA8"/>
    <w:rsid w:val="00532F6E"/>
    <w:rsid w:val="0055007D"/>
    <w:rsid w:val="00562888"/>
    <w:rsid w:val="00577AF5"/>
    <w:rsid w:val="005816CE"/>
    <w:rsid w:val="005A1B9A"/>
    <w:rsid w:val="005B4C48"/>
    <w:rsid w:val="005E1763"/>
    <w:rsid w:val="00622938"/>
    <w:rsid w:val="0063079C"/>
    <w:rsid w:val="00654C2D"/>
    <w:rsid w:val="00664447"/>
    <w:rsid w:val="0068091B"/>
    <w:rsid w:val="006D05B5"/>
    <w:rsid w:val="006E35DF"/>
    <w:rsid w:val="006E59A8"/>
    <w:rsid w:val="00711343"/>
    <w:rsid w:val="007364CE"/>
    <w:rsid w:val="0075029A"/>
    <w:rsid w:val="007652AC"/>
    <w:rsid w:val="007655AD"/>
    <w:rsid w:val="007667FD"/>
    <w:rsid w:val="007B3C46"/>
    <w:rsid w:val="007E0BDA"/>
    <w:rsid w:val="008007FB"/>
    <w:rsid w:val="00823BC3"/>
    <w:rsid w:val="008458A8"/>
    <w:rsid w:val="00846884"/>
    <w:rsid w:val="008C34B8"/>
    <w:rsid w:val="008E656C"/>
    <w:rsid w:val="009208DE"/>
    <w:rsid w:val="00921A27"/>
    <w:rsid w:val="00931EF9"/>
    <w:rsid w:val="00933F15"/>
    <w:rsid w:val="0095107B"/>
    <w:rsid w:val="009518E1"/>
    <w:rsid w:val="00956BB4"/>
    <w:rsid w:val="0096270D"/>
    <w:rsid w:val="00972065"/>
    <w:rsid w:val="00975090"/>
    <w:rsid w:val="00996FB6"/>
    <w:rsid w:val="009A45DC"/>
    <w:rsid w:val="009D167B"/>
    <w:rsid w:val="009E533F"/>
    <w:rsid w:val="009E77AA"/>
    <w:rsid w:val="009F0C51"/>
    <w:rsid w:val="00A07961"/>
    <w:rsid w:val="00A26475"/>
    <w:rsid w:val="00A45617"/>
    <w:rsid w:val="00AA1131"/>
    <w:rsid w:val="00AA3062"/>
    <w:rsid w:val="00AA5CA0"/>
    <w:rsid w:val="00AD3154"/>
    <w:rsid w:val="00AE27EA"/>
    <w:rsid w:val="00AE4210"/>
    <w:rsid w:val="00AF5A03"/>
    <w:rsid w:val="00B00CCD"/>
    <w:rsid w:val="00B02869"/>
    <w:rsid w:val="00B02A44"/>
    <w:rsid w:val="00B1263D"/>
    <w:rsid w:val="00B15B79"/>
    <w:rsid w:val="00B600D4"/>
    <w:rsid w:val="00B7470C"/>
    <w:rsid w:val="00B74B56"/>
    <w:rsid w:val="00B835A1"/>
    <w:rsid w:val="00B9093C"/>
    <w:rsid w:val="00BB1EFE"/>
    <w:rsid w:val="00BB36FB"/>
    <w:rsid w:val="00BB54C8"/>
    <w:rsid w:val="00C001A8"/>
    <w:rsid w:val="00C51D77"/>
    <w:rsid w:val="00C573D2"/>
    <w:rsid w:val="00C67574"/>
    <w:rsid w:val="00C871D8"/>
    <w:rsid w:val="00CA1D1B"/>
    <w:rsid w:val="00CB05D1"/>
    <w:rsid w:val="00CD6664"/>
    <w:rsid w:val="00CF1748"/>
    <w:rsid w:val="00D02DE8"/>
    <w:rsid w:val="00D74D67"/>
    <w:rsid w:val="00DA66D6"/>
    <w:rsid w:val="00DA78D9"/>
    <w:rsid w:val="00DE03FB"/>
    <w:rsid w:val="00E25727"/>
    <w:rsid w:val="00E30BCC"/>
    <w:rsid w:val="00E357D1"/>
    <w:rsid w:val="00E6614B"/>
    <w:rsid w:val="00E741EC"/>
    <w:rsid w:val="00E83AAA"/>
    <w:rsid w:val="00E90445"/>
    <w:rsid w:val="00E9477C"/>
    <w:rsid w:val="00EC119B"/>
    <w:rsid w:val="00ED6CEF"/>
    <w:rsid w:val="00EE75C9"/>
    <w:rsid w:val="00F540AB"/>
    <w:rsid w:val="00F801A8"/>
    <w:rsid w:val="00F82D08"/>
    <w:rsid w:val="00F839B8"/>
    <w:rsid w:val="00FA19D2"/>
    <w:rsid w:val="00FE1060"/>
    <w:rsid w:val="3F7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chart" Target="charts/chart9.xml"/><Relationship Id="rId11" Type="http://schemas.openxmlformats.org/officeDocument/2006/relationships/chart" Target="charts/chart8.xml"/><Relationship Id="rId10" Type="http://schemas.openxmlformats.org/officeDocument/2006/relationships/chart" Target="charts/chart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Workbook7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8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年全州地区生产总值及增速图</a:t>
            </a:r>
            <a:endParaRPr lang="zh-CN" altLang="en-US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323453869003713"/>
          <c:y val="0.0262128980955594"/>
        </c:manualLayout>
      </c:layout>
      <c:overlay val="false"/>
    </c:title>
    <c:autoTitleDeleted val="false"/>
    <c:plotArea>
      <c:layout>
        <c:manualLayout>
          <c:layoutTarget val="inner"/>
          <c:xMode val="edge"/>
          <c:yMode val="edge"/>
          <c:x val="0.170276518529587"/>
          <c:y val="0.190640846250227"/>
          <c:w val="0.769207955835643"/>
          <c:h val="0.498188386564039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'  图1  地区生产总值'!$A$11</c:f>
              <c:strCache>
                <c:ptCount val="1"/>
                <c:pt idx="0">
                  <c:v>地区按生产总值（亿元)</c:v>
                </c:pt>
              </c:strCache>
            </c:strRef>
          </c:tx>
          <c:spPr>
            <a:solidFill>
              <a:srgbClr val="92D050"/>
            </a:solidFill>
            <a:effectLst>
              <a:innerShdw blurRad="114300">
                <a:prstClr val="black"/>
              </a:innerShdw>
            </a:effectLst>
          </c:spPr>
          <c:invertIfNegative val="false"/>
          <c:dLbls>
            <c:dLbl>
              <c:idx val="6"/>
              <c:layout>
                <c:manualLayout>
                  <c:x val="0"/>
                  <c:y val="0.00749063670411985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  图1  地区生产总值'!$V$9:$AC$10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  图1  地区生产总值'!$V$11:$AC$11</c:f>
              <c:numCache>
                <c:formatCode>0.00_);[Red]\(0.00\)</c:formatCode>
                <c:ptCount val="8"/>
                <c:pt idx="0">
                  <c:v>30.72</c:v>
                </c:pt>
                <c:pt idx="1">
                  <c:v>75.44</c:v>
                </c:pt>
                <c:pt idx="2">
                  <c:v>116.62</c:v>
                </c:pt>
                <c:pt idx="3">
                  <c:v>193.61</c:v>
                </c:pt>
                <c:pt idx="4">
                  <c:v>33.76</c:v>
                </c:pt>
                <c:pt idx="5">
                  <c:v>77.96</c:v>
                </c:pt>
                <c:pt idx="6">
                  <c:v>121.28</c:v>
                </c:pt>
                <c:pt idx="7">
                  <c:v>200.27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641789384"/>
        <c:axId val="466149896"/>
      </c:barChart>
      <c:lineChart>
        <c:grouping val="standard"/>
        <c:varyColors val="false"/>
        <c:ser>
          <c:idx val="1"/>
          <c:order val="1"/>
          <c:tx>
            <c:strRef>
              <c:f>'  图1  地区生产总值'!$A$12</c:f>
              <c:strCache>
                <c:ptCount val="1"/>
                <c:pt idx="0">
                  <c:v>同比增长（%）</c:v>
                </c:pt>
              </c:strCache>
            </c:strRef>
          </c:tx>
          <c:dLbls>
            <c:dLbl>
              <c:idx val="0"/>
              <c:layout>
                <c:manualLayout>
                  <c:x val="-0.016586891427304"/>
                  <c:y val="0.00336134949423457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0391080712108885"/>
                  <c:y val="0.00710666784629449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  图1  地区生产总值'!$V$9:$AC$10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  图1  地区生产总值'!$V$12:$AC$12</c:f>
              <c:numCache>
                <c:formatCode>General</c:formatCode>
                <c:ptCount val="8"/>
                <c:pt idx="0">
                  <c:v>14.9</c:v>
                </c:pt>
                <c:pt idx="1" c:formatCode="0.0_ ">
                  <c:v>13.2</c:v>
                </c:pt>
                <c:pt idx="2">
                  <c:v>5.2</c:v>
                </c:pt>
                <c:pt idx="3" c:formatCode="0.0_ ">
                  <c:v>4.5</c:v>
                </c:pt>
                <c:pt idx="4">
                  <c:v>5.3</c:v>
                </c:pt>
                <c:pt idx="5" c:formatCode="0.0_ ">
                  <c:v>0.6</c:v>
                </c:pt>
                <c:pt idx="6">
                  <c:v>1.1</c:v>
                </c:pt>
                <c:pt idx="7" c:formatCode="0.0_ ">
                  <c:v>0.5</c:v>
                </c:pt>
              </c:numCache>
            </c:numRef>
          </c:val>
          <c:smooth val="tru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466150288"/>
        <c:axId val="466150680"/>
      </c:lineChart>
      <c:catAx>
        <c:axId val="64178938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800"/>
                  <a:t>%</a:t>
                </a:r>
                <a:endParaRPr lang="zh-CN" altLang="en-US" sz="800"/>
              </a:p>
            </c:rich>
          </c:tx>
          <c:layout>
            <c:manualLayout>
              <c:xMode val="edge"/>
              <c:yMode val="edge"/>
              <c:x val="0.924745805299661"/>
              <c:y val="0.12777661108214"/>
            </c:manualLayout>
          </c:layout>
          <c:overlay val="false"/>
        </c:title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6149896"/>
        <c:crosses val="autoZero"/>
        <c:auto val="true"/>
        <c:lblAlgn val="ctr"/>
        <c:lblOffset val="100"/>
        <c:noMultiLvlLbl val="false"/>
      </c:catAx>
      <c:valAx>
        <c:axId val="466149896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 sz="800" b="0"/>
                  <a:t>亿元</a:t>
                </a:r>
                <a:endParaRPr lang="zh-CN" altLang="en-US" sz="800" b="0"/>
              </a:p>
            </c:rich>
          </c:tx>
          <c:layout>
            <c:manualLayout>
              <c:xMode val="edge"/>
              <c:yMode val="edge"/>
              <c:x val="0.13568224496536"/>
              <c:y val="0.101905384392129"/>
            </c:manualLayout>
          </c:layout>
          <c:overlay val="false"/>
        </c:title>
        <c:numFmt formatCode="0.0_ " sourceLinked="fals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1789384"/>
        <c:crosses val="autoZero"/>
        <c:crossBetween val="between"/>
      </c:valAx>
      <c:catAx>
        <c:axId val="466150288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6150680"/>
        <c:crosses val="autoZero"/>
        <c:auto val="true"/>
        <c:lblAlgn val="ctr"/>
        <c:lblOffset val="100"/>
        <c:noMultiLvlLbl val="false"/>
      </c:catAx>
      <c:valAx>
        <c:axId val="466150680"/>
        <c:scaling>
          <c:orientation val="minMax"/>
        </c:scaling>
        <c:delete val="false"/>
        <c:axPos val="r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6150288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4318868608727"/>
          <c:y val="0.904563720065408"/>
          <c:w val="0.639383534804628"/>
          <c:h val="0.0677262673626471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年全州农林牧渔业增加值及增速图</a:t>
            </a:r>
            <a:endParaRPr lang="zh-CN" altLang="en-US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238487071245372"/>
          <c:y val="0.013840830449827"/>
        </c:manualLayout>
      </c:layout>
      <c:overlay val="false"/>
      <c:spPr>
        <a:noFill/>
        <a:ln w="25400">
          <a:noFill/>
        </a:ln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'图2  农林牧渔业服务业增加值'!$A$5</c:f>
              <c:strCache>
                <c:ptCount val="1"/>
                <c:pt idx="0">
                  <c:v>农林牧渔服务业增加值（亿元）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3">
                  <a:lumMod val="75000"/>
                </a:schemeClr>
              </a:solidFill>
            </a:ln>
          </c:spPr>
          <c:invertIfNegative val="false"/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'图2  农林牧渔业服务业增加值'!$V$2:$AC$4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'图2  农林牧渔业服务业增加值'!$V$5:$AC$5</c:f>
              <c:numCache>
                <c:formatCode>General</c:formatCode>
                <c:ptCount val="8"/>
                <c:pt idx="0">
                  <c:v>2.41</c:v>
                </c:pt>
                <c:pt idx="1">
                  <c:v>5.46</c:v>
                </c:pt>
                <c:pt idx="2">
                  <c:v>18.53</c:v>
                </c:pt>
                <c:pt idx="3">
                  <c:v>52.27</c:v>
                </c:pt>
                <c:pt idx="4">
                  <c:v>2.16</c:v>
                </c:pt>
                <c:pt idx="5">
                  <c:v>5.19</c:v>
                </c:pt>
                <c:pt idx="6">
                  <c:v>19.75</c:v>
                </c:pt>
                <c:pt idx="7">
                  <c:v>54.72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466151464"/>
        <c:axId val="642408528"/>
      </c:barChart>
      <c:lineChart>
        <c:grouping val="standard"/>
        <c:varyColors val="false"/>
        <c:ser>
          <c:idx val="1"/>
          <c:order val="1"/>
          <c:tx>
            <c:strRef>
              <c:f>'图2  农林牧渔业服务业增加值'!$A$6</c:f>
              <c:strCache>
                <c:ptCount val="1"/>
                <c:pt idx="0">
                  <c:v>同比增长（%）</c:v>
                </c:pt>
              </c:strCache>
            </c:strRef>
          </c:tx>
          <c:marker>
            <c:spPr>
              <a:solidFill>
                <a:schemeClr val="accent2"/>
              </a:solidFill>
            </c:spPr>
          </c:marker>
          <c:dLbls>
            <c:dLbl>
              <c:idx val="7"/>
              <c:layout>
                <c:manualLayout>
                  <c:x val="-0.0039671466922148"/>
                  <c:y val="-0.0372430718887412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'图2  农林牧渔业服务业增加值'!$V$2:$AC$4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'图2  农林牧渔业服务业增加值'!$V$6:$AC$6</c:f>
              <c:numCache>
                <c:formatCode>0.0_ </c:formatCode>
                <c:ptCount val="8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4.5</c:v>
                </c:pt>
                <c:pt idx="4">
                  <c:v>4.5</c:v>
                </c:pt>
                <c:pt idx="5">
                  <c:v>4.2</c:v>
                </c:pt>
                <c:pt idx="6">
                  <c:v>4.4</c:v>
                </c:pt>
                <c:pt idx="7">
                  <c:v>4.3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642408920"/>
        <c:axId val="642409312"/>
      </c:lineChart>
      <c:catAx>
        <c:axId val="466151464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2408528"/>
        <c:crosses val="autoZero"/>
        <c:auto val="true"/>
        <c:lblAlgn val="ctr"/>
        <c:lblOffset val="100"/>
        <c:noMultiLvlLbl val="false"/>
      </c:catAx>
      <c:valAx>
        <c:axId val="642408528"/>
        <c:scaling>
          <c:orientation val="minMax"/>
        </c:scaling>
        <c:delete val="false"/>
        <c:axPos val="l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6151464"/>
        <c:crosses val="autoZero"/>
        <c:crossBetween val="between"/>
      </c:valAx>
      <c:catAx>
        <c:axId val="642408920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2409312"/>
        <c:crosses val="autoZero"/>
        <c:auto val="true"/>
        <c:lblAlgn val="ctr"/>
        <c:lblOffset val="100"/>
        <c:noMultiLvlLbl val="false"/>
      </c:catAx>
      <c:valAx>
        <c:axId val="642409312"/>
        <c:scaling>
          <c:orientation val="minMax"/>
          <c:min val="0"/>
        </c:scaling>
        <c:delete val="false"/>
        <c:axPos val="r"/>
        <c:numFmt formatCode="0.0_ 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2408920"/>
        <c:crosses val="max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年全州工业增加值增速图 </a:t>
            </a:r>
            <a:endParaRPr lang="zh-CN" altLang="en-US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</c:title>
    <c:autoTitleDeleted val="false"/>
    <c:plotArea>
      <c:layout/>
      <c:lineChart>
        <c:grouping val="standard"/>
        <c:varyColors val="false"/>
        <c:ser>
          <c:idx val="1"/>
          <c:order val="0"/>
          <c:tx>
            <c:strRef>
              <c:f>'图3  规模以上工业增加值增速'!$A$6</c:f>
              <c:strCache>
                <c:ptCount val="1"/>
                <c:pt idx="0">
                  <c:v>    规模以上工业 </c:v>
                </c:pt>
              </c:strCache>
            </c:strRef>
          </c:tx>
          <c:dLbls>
            <c:dLbl>
              <c:idx val="2"/>
              <c:layout>
                <c:manualLayout>
                  <c:x val="-0.0246510826771654"/>
                  <c:y val="0.0309551850431304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'图3  规模以上工业增加值增速'!$F$2:$M$4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'图3  规模以上工业增加值增速'!$F$6:$M$6</c:f>
              <c:numCache>
                <c:formatCode>0.0_ </c:formatCode>
                <c:ptCount val="8"/>
                <c:pt idx="0">
                  <c:v>17.6</c:v>
                </c:pt>
                <c:pt idx="1" c:formatCode="General">
                  <c:v>14.6</c:v>
                </c:pt>
                <c:pt idx="2">
                  <c:v>6.3</c:v>
                </c:pt>
                <c:pt idx="3" c:formatCode="General">
                  <c:v>3.4</c:v>
                </c:pt>
                <c:pt idx="4">
                  <c:v>7.1</c:v>
                </c:pt>
                <c:pt idx="5">
                  <c:v>-2.1</c:v>
                </c:pt>
                <c:pt idx="6">
                  <c:v>-4.7</c:v>
                </c:pt>
                <c:pt idx="7">
                  <c:v>-4</c:v>
                </c:pt>
              </c:numCache>
            </c:numRef>
          </c:val>
          <c:smooth val="true"/>
        </c:ser>
        <c:ser>
          <c:idx val="2"/>
          <c:order val="1"/>
          <c:tx>
            <c:strRef>
              <c:f>'图3  规模以上工业增加值增速'!$A$7</c:f>
              <c:strCache>
                <c:ptCount val="1"/>
                <c:pt idx="0">
                  <c:v>    规模以下工业 </c:v>
                </c:pt>
              </c:strCache>
            </c:strRef>
          </c:tx>
          <c:dLbls>
            <c:dLbl>
              <c:idx val="2"/>
              <c:layout>
                <c:manualLayout>
                  <c:x val="-0.0517344160104987"/>
                  <c:y val="-0.0462369424452316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'图3  规模以上工业增加值增速'!$F$2:$M$4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'图3  规模以上工业增加值增速'!$F$7:$M$7</c:f>
              <c:numCache>
                <c:formatCode>0.0_ </c:formatCode>
                <c:ptCount val="8"/>
                <c:pt idx="0">
                  <c:v>2.6</c:v>
                </c:pt>
                <c:pt idx="1" c:formatCode="General">
                  <c:v>3.1</c:v>
                </c:pt>
                <c:pt idx="2" c:formatCode="0.0">
                  <c:v>2</c:v>
                </c:pt>
                <c:pt idx="3" c:formatCode="0.0">
                  <c:v>4</c:v>
                </c:pt>
                <c:pt idx="4" c:formatCode="General">
                  <c:v>6.9</c:v>
                </c:pt>
                <c:pt idx="5" c:formatCode="General">
                  <c:v>7</c:v>
                </c:pt>
                <c:pt idx="6" c:formatCode="General">
                  <c:v>6.3</c:v>
                </c:pt>
                <c:pt idx="7" c:formatCode="General">
                  <c:v>2.1</c:v>
                </c:pt>
              </c:numCache>
            </c:numRef>
          </c:val>
          <c:smooth val="true"/>
        </c:ser>
        <c:ser>
          <c:idx val="3"/>
          <c:order val="2"/>
          <c:tx>
            <c:strRef>
              <c:f>'图3  规模以上工业增加值增速'!$A$8</c:f>
              <c:strCache>
                <c:ptCount val="1"/>
                <c:pt idx="0">
                  <c:v/>
                </c:pt>
              </c:strCache>
            </c:strRef>
          </c:tx>
          <c:dLbls>
            <c:delete val="true"/>
          </c:dLbls>
          <c:cat>
            <c:multiLvlStrRef>
              <c:f>'图3  规模以上工业增加值增速'!$F$2:$M$4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'图3  规模以上工业增加值增速'!$F$8:$M$8</c:f>
              <c:numCache>
                <c:formatCode>General</c:formatCode>
                <c:ptCount val="8"/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642410096"/>
        <c:axId val="208805968"/>
      </c:lineChart>
      <c:catAx>
        <c:axId val="642410096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8805968"/>
        <c:crosses val="autoZero"/>
        <c:auto val="true"/>
        <c:lblAlgn val="ctr"/>
        <c:lblOffset val="100"/>
        <c:noMultiLvlLbl val="false"/>
      </c:catAx>
      <c:valAx>
        <c:axId val="208805968"/>
        <c:scaling>
          <c:orientation val="minMax"/>
        </c:scaling>
        <c:delete val="false"/>
        <c:axPos val="l"/>
        <c:numFmt formatCode="General" sourceLinked="fals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424100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egendEntry>
        <c:idx val="2"/>
        <c:delete val="true"/>
      </c:legendEntry>
      <c:layout>
        <c:manualLayout>
          <c:xMode val="edge"/>
          <c:yMode val="edge"/>
          <c:x val="0.269745815847274"/>
          <c:y val="0.854113773611149"/>
          <c:w val="0.475163769526367"/>
          <c:h val="0.0826117734492258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true"/>
          <a:lstStyle/>
          <a:p>
            <a:pPr>
              <a:defRPr lang="zh-CN"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年全州固定资产投资增长及新能源投资拉动图</a:t>
            </a:r>
            <a:endParaRPr lang="zh-CN" altLang="en-US" sz="1000">
              <a:solidFill>
                <a:sysClr val="windowText" lastClr="000000"/>
              </a:solidFill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193735512723299"/>
          <c:y val="0.027777993393041"/>
        </c:manualLayout>
      </c:layout>
      <c:overlay val="false"/>
      <c:spPr>
        <a:noFill/>
        <a:ln w="25400">
          <a:noFill/>
        </a:ln>
      </c:spPr>
    </c:title>
    <c:autoTitleDeleted val="false"/>
    <c:plotArea>
      <c:layout>
        <c:manualLayout>
          <c:layoutTarget val="inner"/>
          <c:xMode val="edge"/>
          <c:yMode val="edge"/>
          <c:x val="0.100167388332357"/>
          <c:y val="0.196111111111111"/>
          <c:w val="0.882893712696076"/>
          <c:h val="0.647059638378536"/>
        </c:manualLayout>
      </c:layout>
      <c:lineChart>
        <c:grouping val="standard"/>
        <c:varyColors val="false"/>
        <c:ser>
          <c:idx val="0"/>
          <c:order val="0"/>
          <c:tx>
            <c:strRef>
              <c:f>'图4  全社会固定资产投资'!$A$38</c:f>
              <c:strCache>
                <c:ptCount val="1"/>
                <c:pt idx="0">
                  <c:v>同比增长（%）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'图4  全社会固定资产投资'!$B$36:$I$37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'图4  全社会固定资产投资'!$B$38:$I$38</c:f>
              <c:numCache>
                <c:formatCode>0.0_ </c:formatCode>
                <c:ptCount val="8"/>
                <c:pt idx="0">
                  <c:v>40.2</c:v>
                </c:pt>
                <c:pt idx="1">
                  <c:v>2.7</c:v>
                </c:pt>
                <c:pt idx="2">
                  <c:v>-9.8</c:v>
                </c:pt>
                <c:pt idx="3" c:formatCode="General">
                  <c:v>7.2</c:v>
                </c:pt>
                <c:pt idx="4">
                  <c:v>7.7</c:v>
                </c:pt>
                <c:pt idx="5">
                  <c:v>2.7</c:v>
                </c:pt>
                <c:pt idx="6">
                  <c:v>2</c:v>
                </c:pt>
                <c:pt idx="7">
                  <c:v>-10.3</c:v>
                </c:pt>
              </c:numCache>
            </c:numRef>
          </c:val>
          <c:smooth val="true"/>
        </c:ser>
        <c:ser>
          <c:idx val="1"/>
          <c:order val="1"/>
          <c:tx>
            <c:strRef>
              <c:f>'图4  全社会固定资产投资'!$A$39</c:f>
              <c:strCache>
                <c:ptCount val="1"/>
                <c:pt idx="0">
                  <c:v>新能源投资拉动（%）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'图4  全社会固定资产投资'!$B$36:$I$37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'图4  全社会固定资产投资'!$B$39:$I$39</c:f>
              <c:numCache>
                <c:formatCode>0.0_ </c:formatCode>
                <c:ptCount val="8"/>
                <c:pt idx="0">
                  <c:v>35.4</c:v>
                </c:pt>
                <c:pt idx="1" c:formatCode="General">
                  <c:v>-4.3</c:v>
                </c:pt>
                <c:pt idx="2" c:formatCode="General">
                  <c:v>-17.7</c:v>
                </c:pt>
                <c:pt idx="3">
                  <c:v>0.7</c:v>
                </c:pt>
                <c:pt idx="4">
                  <c:v>1.2</c:v>
                </c:pt>
                <c:pt idx="5">
                  <c:v>-5.5</c:v>
                </c:pt>
                <c:pt idx="6">
                  <c:v>-5.4</c:v>
                </c:pt>
                <c:pt idx="7" c:formatCode="0.0">
                  <c:v>-15.8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208806752"/>
        <c:axId val="208807144"/>
      </c:lineChart>
      <c:catAx>
        <c:axId val="208806752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807144"/>
        <c:crossesAt val="0"/>
        <c:auto val="true"/>
        <c:lblAlgn val="ctr"/>
        <c:lblOffset val="100"/>
        <c:noMultiLvlLbl val="false"/>
      </c:catAx>
      <c:valAx>
        <c:axId val="208807144"/>
        <c:scaling>
          <c:orientation val="minMax"/>
          <c:max val="45"/>
          <c:min val="-30"/>
        </c:scaling>
        <c:delete val="false"/>
        <c:axPos val="l"/>
        <c:numFmt formatCode="0.0_ " sourceLinked="true"/>
        <c:majorTickMark val="in"/>
        <c:minorTickMark val="none"/>
        <c:tickLblPos val="nextTo"/>
        <c:spPr>
          <a:noFill/>
          <a:ln w="6350" cap="flat" cmpd="sng" algn="ctr">
            <a:solidFill>
              <a:schemeClr val="accent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806752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94970615903609"/>
          <c:y val="0.858763946967275"/>
          <c:w val="0.48694697592923"/>
          <c:h val="0.0792279283673612"/>
        </c:manualLayout>
      </c:layout>
      <c:overlay val="false"/>
      <c:spPr>
        <a:noFill/>
        <a:ln w="25400">
          <a:noFill/>
        </a:ln>
      </c:spPr>
      <c:txPr>
        <a:bodyPr rot="0" spcFirstLastPara="1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zero"/>
    <c:showDLblsOverMax val="false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true"/>
          <a:lstStyle/>
          <a:p>
            <a:pPr>
              <a:defRPr lang="zh-CN" sz="1000" b="0" i="0" u="none" strike="noStrike" kern="1200" spc="0" baseline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年全州社会消费品零售总额及增速图</a:t>
            </a:r>
            <a:endParaRPr lang="zh-CN" altLang="en-US" sz="1000" b="0">
              <a:solidFill>
                <a:sysClr val="windowText" lastClr="000000"/>
              </a:solidFill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  <c:spPr>
        <a:noFill/>
        <a:ln w="25400">
          <a:noFill/>
        </a:ln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'图5 社会消费品零售总额及增速'!$A$5</c:f>
              <c:strCache>
                <c:ptCount val="1"/>
                <c:pt idx="0">
                  <c:v>社会消费品零售总额（亿元）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false"/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'图5 社会消费品零售总额及增速'!$F$3:$M$4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'图5 社会消费品零售总额及增速'!$F$5:$M$5</c:f>
              <c:numCache>
                <c:formatCode>0.00_ </c:formatCode>
                <c:ptCount val="8"/>
                <c:pt idx="0">
                  <c:v>7.97</c:v>
                </c:pt>
                <c:pt idx="1">
                  <c:v>10.6</c:v>
                </c:pt>
                <c:pt idx="2">
                  <c:v>25.07</c:v>
                </c:pt>
                <c:pt idx="3" c:formatCode="0.0_ ">
                  <c:v>34</c:v>
                </c:pt>
                <c:pt idx="4">
                  <c:v>8.08</c:v>
                </c:pt>
                <c:pt idx="5">
                  <c:v>15.86</c:v>
                </c:pt>
                <c:pt idx="6">
                  <c:v>25.38</c:v>
                </c:pt>
                <c:pt idx="7">
                  <c:v>34.31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219"/>
        <c:axId val="498029552"/>
        <c:axId val="498029944"/>
      </c:barChart>
      <c:lineChart>
        <c:grouping val="standard"/>
        <c:varyColors val="false"/>
        <c:ser>
          <c:idx val="1"/>
          <c:order val="1"/>
          <c:tx>
            <c:strRef>
              <c:f>'图5 社会消费品零售总额及增速'!$A$6</c:f>
              <c:strCache>
                <c:ptCount val="1"/>
                <c:pt idx="0">
                  <c:v>比上年增长（%）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square"/>
            <c:size val="8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'图5 社会消费品零售总额及增速'!$F$3:$M$4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'图5 社会消费品零售总额及增速'!$F$6:$M$6</c:f>
              <c:numCache>
                <c:formatCode>0.0</c:formatCode>
                <c:ptCount val="8"/>
                <c:pt idx="0">
                  <c:v>26</c:v>
                </c:pt>
                <c:pt idx="1" c:formatCode="General">
                  <c:v>11.1</c:v>
                </c:pt>
                <c:pt idx="2" c:formatCode="General">
                  <c:v>10.2</c:v>
                </c:pt>
                <c:pt idx="3" c:formatCode="General">
                  <c:v>7.7</c:v>
                </c:pt>
                <c:pt idx="4" c:formatCode="General">
                  <c:v>1.3</c:v>
                </c:pt>
                <c:pt idx="5" c:formatCode="General">
                  <c:v>0.7</c:v>
                </c:pt>
                <c:pt idx="6" c:formatCode="General">
                  <c:v>1.2</c:v>
                </c:pt>
                <c:pt idx="7" c:formatCode="General">
                  <c:v>0.9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98030336"/>
        <c:axId val="498030728"/>
      </c:lineChart>
      <c:catAx>
        <c:axId val="498029552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8029944"/>
        <c:crosses val="autoZero"/>
        <c:auto val="true"/>
        <c:lblAlgn val="ctr"/>
        <c:lblOffset val="100"/>
        <c:noMultiLvlLbl val="false"/>
      </c:catAx>
      <c:valAx>
        <c:axId val="498029944"/>
        <c:scaling>
          <c:orientation val="minMax"/>
        </c:scaling>
        <c:delete val="false"/>
        <c:axPos val="l"/>
        <c:numFmt formatCode="0.0_ " sourceLinked="false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8029552"/>
        <c:crosses val="autoZero"/>
        <c:crossBetween val="between"/>
      </c:valAx>
      <c:catAx>
        <c:axId val="498030336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98030728"/>
        <c:crosses val="autoZero"/>
        <c:auto val="true"/>
        <c:lblAlgn val="ctr"/>
        <c:lblOffset val="100"/>
        <c:noMultiLvlLbl val="false"/>
      </c:catAx>
      <c:valAx>
        <c:axId val="498030728"/>
        <c:scaling>
          <c:orientation val="minMax"/>
        </c:scaling>
        <c:delete val="false"/>
        <c:axPos val="r"/>
        <c:numFmt formatCode="0.0" sourceLinked="true"/>
        <c:majorTickMark val="in"/>
        <c:minorTickMark val="none"/>
        <c:tickLblPos val="nextTo"/>
        <c:spPr>
          <a:noFill/>
          <a:ln w="635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8030336"/>
        <c:crosses val="max"/>
        <c:crossBetween val="between"/>
      </c:valAx>
      <c:spPr>
        <a:noFill/>
        <a:ln w="25400">
          <a:noFill/>
        </a:ln>
      </c:spPr>
    </c:plotArea>
    <c:legend>
      <c:legendPos val="b"/>
      <c:layout/>
      <c:overlay val="false"/>
      <c:spPr>
        <a:noFill/>
        <a:ln w="25400">
          <a:noFill/>
        </a:ln>
      </c:spPr>
      <c:txPr>
        <a:bodyPr rot="0" spcFirstLastPara="1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年共和县居民消费价格增速变动图</a:t>
            </a:r>
            <a:endParaRPr lang="en-US" altLang="en-US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</c:title>
    <c:autoTitleDeleted val="false"/>
    <c:plotArea>
      <c:layout>
        <c:manualLayout>
          <c:layoutTarget val="inner"/>
          <c:xMode val="edge"/>
          <c:yMode val="edge"/>
          <c:x val="0.0527408752042463"/>
          <c:y val="0.224548702245553"/>
          <c:w val="0.919428632217949"/>
          <c:h val="0.520198673082531"/>
        </c:manualLayout>
      </c:layout>
      <c:lineChart>
        <c:grouping val="standard"/>
        <c:varyColors val="false"/>
        <c:ser>
          <c:idx val="0"/>
          <c:order val="0"/>
          <c:tx>
            <c:strRef>
              <c:f>价格!$A$4</c:f>
              <c:strCache>
                <c:ptCount val="1"/>
                <c:pt idx="0">
                  <c:v>居民消费价格累计指数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价格!$B$2:$I$3</c:f>
              <c:multiLvlStrCache>
                <c:ptCount val="8"/>
                <c:lvl>
                  <c:pt idx="0">
                    <c:v>3月</c:v>
                  </c:pt>
                  <c:pt idx="1">
                    <c:v>6月</c:v>
                  </c:pt>
                  <c:pt idx="2">
                    <c:v>9月</c:v>
                  </c:pt>
                  <c:pt idx="3">
                    <c:v>12月</c:v>
                  </c:pt>
                  <c:pt idx="4">
                    <c:v>3月</c:v>
                  </c:pt>
                  <c:pt idx="5">
                    <c:v>6月</c:v>
                  </c:pt>
                  <c:pt idx="6">
                    <c:v>9月</c:v>
                  </c:pt>
                  <c:pt idx="7">
                    <c:v>12月</c:v>
                  </c:pt>
                </c:lvl>
                <c:lvl>
                  <c:pt idx="0">
                    <c:v>2021年</c:v>
                  </c:pt>
                </c:lvl>
              </c:multiLvlStrCache>
            </c:multiLvlStrRef>
          </c:cat>
          <c:val>
            <c:numRef>
              <c:f>价格!$B$4:$I$4</c:f>
              <c:numCache>
                <c:formatCode>0.0_ </c:formatCode>
                <c:ptCount val="8"/>
                <c:pt idx="0">
                  <c:v>0.7</c:v>
                </c:pt>
                <c:pt idx="1" c:formatCode="General">
                  <c:v>1.1</c:v>
                </c:pt>
                <c:pt idx="2" c:formatCode="General">
                  <c:v>0.9</c:v>
                </c:pt>
                <c:pt idx="3" c:formatCode="General">
                  <c:v>1.3</c:v>
                </c:pt>
                <c:pt idx="4" c:formatCode="General">
                  <c:v>1.8</c:v>
                </c:pt>
                <c:pt idx="5" c:formatCode="General">
                  <c:v>2.3</c:v>
                </c:pt>
                <c:pt idx="6" c:formatCode="General">
                  <c:v>2.4</c:v>
                </c:pt>
                <c:pt idx="7" c:formatCode="General">
                  <c:v>2.2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价格!$A$5</c:f>
              <c:strCache>
                <c:ptCount val="1"/>
                <c:pt idx="0">
                  <c:v>居民消费价格同比指数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价格!$B$2:$I$3</c:f>
              <c:multiLvlStrCache>
                <c:ptCount val="8"/>
                <c:lvl>
                  <c:pt idx="0">
                    <c:v>3月</c:v>
                  </c:pt>
                  <c:pt idx="1">
                    <c:v>6月</c:v>
                  </c:pt>
                  <c:pt idx="2">
                    <c:v>9月</c:v>
                  </c:pt>
                  <c:pt idx="3">
                    <c:v>12月</c:v>
                  </c:pt>
                  <c:pt idx="4">
                    <c:v>3月</c:v>
                  </c:pt>
                  <c:pt idx="5">
                    <c:v>6月</c:v>
                  </c:pt>
                  <c:pt idx="6">
                    <c:v>9月</c:v>
                  </c:pt>
                  <c:pt idx="7">
                    <c:v>12月</c:v>
                  </c:pt>
                </c:lvl>
                <c:lvl>
                  <c:pt idx="0">
                    <c:v>2021年</c:v>
                  </c:pt>
                </c:lvl>
              </c:multiLvlStrCache>
            </c:multiLvlStrRef>
          </c:cat>
          <c:val>
            <c:numRef>
              <c:f>价格!$B$5:$I$5</c:f>
              <c:numCache>
                <c:formatCode>General</c:formatCode>
                <c:ptCount val="8"/>
                <c:pt idx="0">
                  <c:v>1.2</c:v>
                </c:pt>
                <c:pt idx="1">
                  <c:v>0.9</c:v>
                </c:pt>
                <c:pt idx="2">
                  <c:v>0.5</c:v>
                </c:pt>
                <c:pt idx="3">
                  <c:v>2.3</c:v>
                </c:pt>
                <c:pt idx="4">
                  <c:v>2.4</c:v>
                </c:pt>
                <c:pt idx="5">
                  <c:v>2.8</c:v>
                </c:pt>
                <c:pt idx="6">
                  <c:v>2.7</c:v>
                </c:pt>
                <c:pt idx="7">
                  <c:v>1.2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96477848"/>
        <c:axId val="496478240"/>
      </c:lineChart>
      <c:catAx>
        <c:axId val="496477848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800" b="0"/>
                  <a:t>%</a:t>
                </a:r>
                <a:endParaRPr lang="zh-CN" altLang="en-US" sz="800" b="0"/>
              </a:p>
            </c:rich>
          </c:tx>
          <c:layout>
            <c:manualLayout>
              <c:xMode val="edge"/>
              <c:yMode val="edge"/>
              <c:x val="0.0472595907061433"/>
              <c:y val="0.134259188475227"/>
            </c:manualLayout>
          </c:layout>
          <c:overlay val="false"/>
        </c:title>
        <c:numFmt formatCode="General" sourceLinked="true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96478240"/>
        <c:crosses val="autoZero"/>
        <c:auto val="true"/>
        <c:lblAlgn val="ctr"/>
        <c:lblOffset val="100"/>
        <c:noMultiLvlLbl val="false"/>
      </c:catAx>
      <c:valAx>
        <c:axId val="496478240"/>
        <c:scaling>
          <c:orientation val="minMax"/>
        </c:scaling>
        <c:delete val="false"/>
        <c:axPos val="l"/>
        <c:numFmt formatCode="0.0_ 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964778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0859532595325953"/>
          <c:y val="0.916282649134878"/>
          <c:w val="0.833153577205063"/>
          <c:h val="0.0837173508651224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sz="1000" b="0">
                <a:latin typeface="方正小标宋简体" panose="03000509000000000000" charset="-122"/>
                <a:ea typeface="方正小标宋简体" panose="03000509000000000000" charset="-122"/>
              </a:rPr>
              <a:t>年全州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一般公共</a:t>
            </a:r>
            <a:r>
              <a:rPr lang="zh-CN" sz="1000" b="0">
                <a:latin typeface="方正小标宋简体" panose="03000509000000000000" charset="-122"/>
                <a:ea typeface="方正小标宋简体" panose="03000509000000000000" charset="-122"/>
              </a:rPr>
              <a:t>预算收入及增速图</a:t>
            </a:r>
            <a:endParaRPr lang="zh-CN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</c:title>
    <c:autoTitleDeleted val="false"/>
    <c:plotArea>
      <c:layout>
        <c:manualLayout>
          <c:layoutTarget val="inner"/>
          <c:xMode val="edge"/>
          <c:yMode val="edge"/>
          <c:x val="0.148967801112607"/>
          <c:y val="0.198143686297888"/>
          <c:w val="0.784807715979527"/>
          <c:h val="0.537799084262732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'图7  财政收入'!$A$4</c:f>
              <c:strCache>
                <c:ptCount val="1"/>
                <c:pt idx="0">
                  <c:v>地方一般公共预算收入</c:v>
                </c:pt>
              </c:strCache>
            </c:strRef>
          </c:tx>
          <c:spPr>
            <a:solidFill>
              <a:srgbClr val="92D050"/>
            </a:solidFill>
            <a:effectLst>
              <a:innerShdw blurRad="63500" dist="50800">
                <a:prstClr val="black">
                  <a:alpha val="50000"/>
                </a:prstClr>
              </a:innerShdw>
            </a:effectLst>
          </c:spPr>
          <c:invertIfNegative val="false"/>
          <c:dLbls>
            <c:dLbl>
              <c:idx val="6"/>
              <c:layout>
                <c:manualLayout>
                  <c:x val="0"/>
                  <c:y val="-0.0416666666666667"/>
                </c:manualLayout>
              </c:layout>
              <c:numFmt formatCode="General" sourceLinked="true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true"/>
                <a:lstStyle/>
                <a:p>
                  <a:pPr>
                    <a:defRPr lang="zh-CN"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'图7  财政收入'!$F$2:$M$3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'图7  财政收入'!$F$4:$M$4</c:f>
              <c:numCache>
                <c:formatCode>General</c:formatCode>
                <c:ptCount val="8"/>
                <c:pt idx="0">
                  <c:v>6.25</c:v>
                </c:pt>
                <c:pt idx="1">
                  <c:v>9.11</c:v>
                </c:pt>
                <c:pt idx="2">
                  <c:v>13.92</c:v>
                </c:pt>
                <c:pt idx="3">
                  <c:v>16.78</c:v>
                </c:pt>
                <c:pt idx="4">
                  <c:v>6.43</c:v>
                </c:pt>
                <c:pt idx="5">
                  <c:v>8.8</c:v>
                </c:pt>
                <c:pt idx="6">
                  <c:v>13.99</c:v>
                </c:pt>
                <c:pt idx="7">
                  <c:v>18.46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496479024"/>
        <c:axId val="496479416"/>
      </c:barChart>
      <c:lineChart>
        <c:grouping val="stacked"/>
        <c:varyColors val="false"/>
        <c:ser>
          <c:idx val="1"/>
          <c:order val="1"/>
          <c:tx>
            <c:strRef>
              <c:f>'图7  财政收入'!$A$5</c:f>
              <c:strCache>
                <c:ptCount val="1"/>
                <c:pt idx="0">
                  <c:v>同比增长</c:v>
                </c:pt>
              </c:strCache>
            </c:strRef>
          </c:tx>
          <c:marker>
            <c:symbol val="diamond"/>
            <c:size val="10"/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'图7  财政收入'!$F$2:$M$3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'图7  财政收入'!$F$5:$M$5</c:f>
              <c:numCache>
                <c:formatCode>General</c:formatCode>
                <c:ptCount val="8"/>
                <c:pt idx="0">
                  <c:v>146.7</c:v>
                </c:pt>
                <c:pt idx="1" c:formatCode="0.0_ ">
                  <c:v>45.7</c:v>
                </c:pt>
                <c:pt idx="2">
                  <c:v>42.3</c:v>
                </c:pt>
                <c:pt idx="3">
                  <c:v>22.5</c:v>
                </c:pt>
                <c:pt idx="4">
                  <c:v>2.9</c:v>
                </c:pt>
                <c:pt idx="5">
                  <c:v>-3.4</c:v>
                </c:pt>
                <c:pt idx="6">
                  <c:v>0.5</c:v>
                </c:pt>
                <c:pt idx="7" c:formatCode="0.0">
                  <c:v>10</c:v>
                </c:pt>
              </c:numCache>
            </c:numRef>
          </c:val>
          <c:smooth val="tru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639851056"/>
        <c:axId val="639851448"/>
      </c:lineChart>
      <c:catAx>
        <c:axId val="496479024"/>
        <c:scaling>
          <c:orientation val="minMax"/>
        </c:scaling>
        <c:delete val="false"/>
        <c:axPos val="b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0"/>
                  <a:t>%</a:t>
                </a:r>
                <a:endParaRPr lang="zh-CN" sz="800" b="0"/>
              </a:p>
            </c:rich>
          </c:tx>
          <c:layout>
            <c:manualLayout>
              <c:xMode val="edge"/>
              <c:yMode val="edge"/>
              <c:x val="0.915597761028814"/>
              <c:y val="0.119037303203656"/>
            </c:manualLayout>
          </c:layout>
          <c:overlay val="false"/>
        </c:title>
        <c:numFmt formatCode="General" sourceLinked="true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96479416"/>
        <c:crosses val="autoZero"/>
        <c:auto val="true"/>
        <c:lblAlgn val="ctr"/>
        <c:lblOffset val="100"/>
        <c:noMultiLvlLbl val="false"/>
      </c:catAx>
      <c:valAx>
        <c:axId val="496479416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sz="800" b="0"/>
                  <a:t>亿元</a:t>
                </a:r>
                <a:endParaRPr lang="zh-CN" sz="800" b="0"/>
              </a:p>
            </c:rich>
          </c:tx>
          <c:layout>
            <c:manualLayout>
              <c:xMode val="edge"/>
              <c:yMode val="edge"/>
              <c:x val="0.116994452849218"/>
              <c:y val="0.11626452056269"/>
            </c:manualLayout>
          </c:layout>
          <c:overlay val="false"/>
        </c:title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96479024"/>
        <c:crosses val="autoZero"/>
        <c:crossBetween val="between"/>
      </c:valAx>
      <c:catAx>
        <c:axId val="639851056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39851448"/>
        <c:crosses val="autoZero"/>
        <c:auto val="true"/>
        <c:lblAlgn val="ctr"/>
        <c:lblOffset val="100"/>
        <c:noMultiLvlLbl val="false"/>
      </c:catAx>
      <c:valAx>
        <c:axId val="639851448"/>
        <c:scaling>
          <c:orientation val="minMax"/>
        </c:scaling>
        <c:delete val="false"/>
        <c:axPos val="r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39851056"/>
        <c:crosses val="max"/>
        <c:crossBetween val="between"/>
        <c:majorUnit val="20"/>
      </c:valAx>
      <c:spPr>
        <a:noFill/>
        <a:ln w="25400">
          <a:noFill/>
        </a:ln>
      </c:spPr>
    </c:plotArea>
    <c:legend>
      <c:legendPos val="b"/>
      <c:legendEntry>
        <c:idx val="0"/>
        <c:txPr>
          <a:bodyPr rot="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40233889027121"/>
          <c:y val="0.896347511750488"/>
          <c:w val="0.519532221945758"/>
          <c:h val="0.0926695118629117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zero"/>
    <c:showDLblsOverMax val="false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 sz="900"/>
      </a:pPr>
    </a:p>
  </c:txPr>
  <c:externalData r:id="rId1">
    <c:autoUpdate val="false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latin typeface="方正小标宋简体" panose="03000509000000000000" charset="-122"/>
                <a:ea typeface="方正小标宋简体" panose="03000509000000000000" charset="-122"/>
              </a:rPr>
              <a:t>年全州金融机构存贷款余额增速图</a:t>
            </a:r>
            <a:endParaRPr lang="zh-CN" altLang="en-US" sz="1000" b="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金融!$A$5</c:f>
              <c:strCache>
                <c:ptCount val="1"/>
                <c:pt idx="0">
                  <c:v>各项存款余额增速</c:v>
                </c:pt>
              </c:strCache>
            </c:strRef>
          </c:tx>
          <c:dLbls>
            <c:dLbl>
              <c:idx val="7"/>
              <c:layout>
                <c:manualLayout>
                  <c:x val="-0.0292237634834984"/>
                  <c:y val="-0.034144784432528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金融!$F$2:$M$3</c:f>
              <c:multiLvlStrCache>
                <c:ptCount val="8"/>
                <c:lvl>
                  <c:pt idx="0">
                    <c:v>3月末</c:v>
                  </c:pt>
                  <c:pt idx="1">
                    <c:v>6月末</c:v>
                  </c:pt>
                  <c:pt idx="2">
                    <c:v>9月末</c:v>
                  </c:pt>
                  <c:pt idx="3">
                    <c:v>12月末</c:v>
                  </c:pt>
                  <c:pt idx="4">
                    <c:v>3月末</c:v>
                  </c:pt>
                  <c:pt idx="5">
                    <c:v>6月末</c:v>
                  </c:pt>
                  <c:pt idx="6">
                    <c:v>9月末</c:v>
                  </c:pt>
                  <c:pt idx="7">
                    <c:v>12月末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金融!$F$5:$M$5</c:f>
              <c:numCache>
                <c:formatCode>0.0_ </c:formatCode>
                <c:ptCount val="8"/>
                <c:pt idx="0">
                  <c:v>11.8</c:v>
                </c:pt>
                <c:pt idx="1">
                  <c:v>9.9</c:v>
                </c:pt>
                <c:pt idx="2">
                  <c:v>5.3</c:v>
                </c:pt>
                <c:pt idx="3">
                  <c:v>5.8</c:v>
                </c:pt>
                <c:pt idx="4">
                  <c:v>10.7</c:v>
                </c:pt>
                <c:pt idx="5">
                  <c:v>17.7</c:v>
                </c:pt>
                <c:pt idx="6">
                  <c:v>16.6</c:v>
                </c:pt>
                <c:pt idx="7">
                  <c:v>18</c:v>
                </c:pt>
              </c:numCache>
            </c:numRef>
          </c:val>
          <c:smooth val="true"/>
        </c:ser>
        <c:ser>
          <c:idx val="1"/>
          <c:order val="1"/>
          <c:tx>
            <c:strRef>
              <c:f>金融!$A$7</c:f>
              <c:strCache>
                <c:ptCount val="1"/>
                <c:pt idx="0">
                  <c:v>各项贷款余额增速</c:v>
                </c:pt>
              </c:strCache>
            </c:strRef>
          </c:tx>
          <c:dLbls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金融!$F$2:$M$3</c:f>
              <c:multiLvlStrCache>
                <c:ptCount val="8"/>
                <c:lvl>
                  <c:pt idx="0">
                    <c:v>3月末</c:v>
                  </c:pt>
                  <c:pt idx="1">
                    <c:v>6月末</c:v>
                  </c:pt>
                  <c:pt idx="2">
                    <c:v>9月末</c:v>
                  </c:pt>
                  <c:pt idx="3">
                    <c:v>12月末</c:v>
                  </c:pt>
                  <c:pt idx="4">
                    <c:v>3月末</c:v>
                  </c:pt>
                  <c:pt idx="5">
                    <c:v>6月末</c:v>
                  </c:pt>
                  <c:pt idx="6">
                    <c:v>9月末</c:v>
                  </c:pt>
                  <c:pt idx="7">
                    <c:v>12月末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金融!$F$7:$M$7</c:f>
              <c:numCache>
                <c:formatCode>0.0_ </c:formatCode>
                <c:ptCount val="8"/>
                <c:pt idx="0">
                  <c:v>13.6</c:v>
                </c:pt>
                <c:pt idx="1">
                  <c:v>11.4</c:v>
                </c:pt>
                <c:pt idx="2">
                  <c:v>11.5</c:v>
                </c:pt>
                <c:pt idx="3">
                  <c:v>14.9</c:v>
                </c:pt>
                <c:pt idx="4">
                  <c:v>17.5</c:v>
                </c:pt>
                <c:pt idx="5">
                  <c:v>17.3</c:v>
                </c:pt>
                <c:pt idx="6">
                  <c:v>17.2</c:v>
                </c:pt>
                <c:pt idx="7">
                  <c:v>11.2</c:v>
                </c:pt>
              </c:numCache>
            </c:numRef>
          </c:val>
          <c:smooth val="tru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true"/>
        <c:axId val="639852232"/>
        <c:axId val="639852624"/>
      </c:lineChart>
      <c:catAx>
        <c:axId val="639852232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39852624"/>
        <c:crosses val="autoZero"/>
        <c:auto val="true"/>
        <c:lblAlgn val="ctr"/>
        <c:lblOffset val="100"/>
        <c:noMultiLvlLbl val="false"/>
      </c:catAx>
      <c:valAx>
        <c:axId val="639852624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horz" wrap="square" anchor="ctr" anchorCtr="true"/>
              <a:lstStyle/>
              <a:p>
                <a:pPr>
                  <a:defRPr lang="zh-CN"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800"/>
                  <a:t>%</a:t>
                </a:r>
                <a:endParaRPr lang="zh-CN" altLang="en-US" sz="800"/>
              </a:p>
            </c:rich>
          </c:tx>
          <c:layout>
            <c:manualLayout>
              <c:xMode val="edge"/>
              <c:yMode val="edge"/>
              <c:x val="0.0965040791220894"/>
              <c:y val="0.0640156706075457"/>
            </c:manualLayout>
          </c:layout>
          <c:overlay val="false"/>
        </c:title>
        <c:numFmt formatCode="0.0_ " sourceLinked="true"/>
        <c:majorTickMark val="in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398522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6350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true"/>
          <a:lstStyle/>
          <a:p>
            <a:pPr>
              <a:defRPr lang="zh-CN" sz="1000" b="0" i="0" u="none" strike="noStrike" kern="1200" spc="0" baseline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  <a:cs typeface="+mn-cs"/>
              </a:defRPr>
            </a:pPr>
            <a:r>
              <a:rPr lang="en-US" altLang="zh-CN" sz="1000" b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2021-2022</a:t>
            </a:r>
            <a:r>
              <a:rPr lang="zh-CN" altLang="en-US" sz="1000" b="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</a:rPr>
              <a:t>年全州城乡居民人均可支配收入增速图</a:t>
            </a:r>
            <a:endParaRPr lang="zh-CN" altLang="en-US" sz="1000" b="0">
              <a:solidFill>
                <a:sysClr val="windowText" lastClr="000000"/>
              </a:solidFill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false"/>
      <c:spPr>
        <a:noFill/>
        <a:ln w="25400">
          <a:noFill/>
        </a:ln>
      </c:spPr>
    </c:title>
    <c:autoTitleDeleted val="false"/>
    <c:plotArea>
      <c:layout/>
      <c:lineChart>
        <c:grouping val="standard"/>
        <c:varyColors val="false"/>
        <c:ser>
          <c:idx val="0"/>
          <c:order val="0"/>
          <c:tx>
            <c:strRef>
              <c:f>'图6  城乡居民收入'!$A$55</c:f>
              <c:strCache>
                <c:ptCount val="1"/>
                <c:pt idx="0">
                  <c:v>城镇居民人均可支配收入（%）</c:v>
                </c:pt>
              </c:strCache>
            </c:strRef>
          </c:tx>
          <c:spPr>
            <a:ln w="28575" cap="rnd" cmpd="sng" algn="ctr">
              <a:solidFill>
                <a:schemeClr val="accent3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'图6  城乡居民收入'!$B$53:$I$54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'图6  城乡居民收入'!$B$55:$I$55</c:f>
              <c:numCache>
                <c:formatCode>0.0_ </c:formatCode>
                <c:ptCount val="8"/>
                <c:pt idx="0">
                  <c:v>9</c:v>
                </c:pt>
                <c:pt idx="1">
                  <c:v>7.5</c:v>
                </c:pt>
                <c:pt idx="2">
                  <c:v>6.6</c:v>
                </c:pt>
                <c:pt idx="3">
                  <c:v>5.7</c:v>
                </c:pt>
                <c:pt idx="4">
                  <c:v>5.1</c:v>
                </c:pt>
                <c:pt idx="5">
                  <c:v>5.3</c:v>
                </c:pt>
                <c:pt idx="6">
                  <c:v>3.8</c:v>
                </c:pt>
                <c:pt idx="7">
                  <c:v>2.6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'图6  城乡居民收入'!$A$56</c:f>
              <c:strCache>
                <c:ptCount val="1"/>
                <c:pt idx="0">
                  <c:v>农村居民人均可支配收入（%）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multiLvlStrRef>
              <c:f>'图6  城乡居民收入'!$B$53:$I$54</c:f>
              <c:multiLvlStrCache>
                <c:ptCount val="8"/>
                <c:lvl>
                  <c:pt idx="0">
                    <c:v>一季度</c:v>
                  </c:pt>
                  <c:pt idx="1">
                    <c:v>上半年</c:v>
                  </c:pt>
                  <c:pt idx="2">
                    <c:v>前三季度</c:v>
                  </c:pt>
                  <c:pt idx="3">
                    <c:v>全年</c:v>
                  </c:pt>
                  <c:pt idx="4">
                    <c:v>一季度</c:v>
                  </c:pt>
                  <c:pt idx="5">
                    <c:v>上半年</c:v>
                  </c:pt>
                  <c:pt idx="6">
                    <c:v>前三季度</c:v>
                  </c:pt>
                  <c:pt idx="7">
                    <c:v>全年</c:v>
                  </c:pt>
                </c:lvl>
                <c:lvl>
                  <c:pt idx="0">
                    <c:v>2021年</c:v>
                  </c:pt>
                  <c:pt idx="4">
                    <c:v>2022年</c:v>
                  </c:pt>
                </c:lvl>
              </c:multiLvlStrCache>
            </c:multiLvlStrRef>
          </c:cat>
          <c:val>
            <c:numRef>
              <c:f>'图6  城乡居民收入'!$B$56:$I$56</c:f>
              <c:numCache>
                <c:formatCode>0.0_ </c:formatCode>
                <c:ptCount val="8"/>
                <c:pt idx="0">
                  <c:v>13.5</c:v>
                </c:pt>
                <c:pt idx="1">
                  <c:v>12.8</c:v>
                </c:pt>
                <c:pt idx="2">
                  <c:v>9.6</c:v>
                </c:pt>
                <c:pt idx="3">
                  <c:v>9.2</c:v>
                </c:pt>
                <c:pt idx="4">
                  <c:v>6.8</c:v>
                </c:pt>
                <c:pt idx="5">
                  <c:v>6.5</c:v>
                </c:pt>
                <c:pt idx="6">
                  <c:v>7</c:v>
                </c:pt>
                <c:pt idx="7">
                  <c:v>7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94104576"/>
        <c:axId val="494104968"/>
      </c:lineChart>
      <c:catAx>
        <c:axId val="494104576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4104968"/>
        <c:crosses val="autoZero"/>
        <c:auto val="true"/>
        <c:lblAlgn val="ctr"/>
        <c:lblOffset val="100"/>
        <c:noMultiLvlLbl val="false"/>
      </c:catAx>
      <c:valAx>
        <c:axId val="494104968"/>
        <c:scaling>
          <c:orientation val="minMax"/>
        </c:scaling>
        <c:delete val="false"/>
        <c:axPos val="l"/>
        <c:numFmt formatCode="0.0_ " sourceLinked="true"/>
        <c:majorTickMark val="in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4941045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0646734403208673"/>
          <c:y val="0.822915573053368"/>
          <c:w val="0.870652928819469"/>
          <c:h val="0.149306649168854"/>
        </c:manualLayout>
      </c:layout>
      <c:overlay val="false"/>
      <c:spPr>
        <a:noFill/>
        <a:ln w="25400">
          <a:noFill/>
        </a:ln>
      </c:spPr>
      <c:txPr>
        <a:bodyPr rot="0" spcFirstLastPara="1" vertOverflow="ellipsis" vert="horz" wrap="square" anchor="ctr" anchorCtr="true"/>
        <a:lstStyle/>
        <a:p>
          <a:pPr>
            <a:defRPr lang="zh-CN"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zero"/>
    <c:showDLblsOverMax val="false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false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0.04215</cdr:x>
      <cdr:y>0.08041</cdr:y>
    </cdr:from>
    <cdr:to>
      <cdr:x>0.08721</cdr:x>
      <cdr:y>0.16149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04484" y="193677"/>
          <a:ext cx="218596" cy="195284"/>
        </a:xfrm>
        <a:prstGeom xmlns:a="http://schemas.openxmlformats.org/drawingml/2006/main" prst="rect">
          <a:avLst/>
        </a:prstGeom>
        <a:noFill/>
        <a:ln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 xmlns:a="http://schemas.openxmlformats.org/drawingml/2006/main">
        <a:bodyPr vertOverflow="clip" vert="horz" wrap="none" lIns="45720" tIns="45720" rIns="45720" bIns="45720" anchor="t" anchorCtr="false">
          <a:normAutofit/>
        </a:bodyPr>
        <a:lstStyle/>
        <a:p>
          <a:r>
            <a:rPr lang="en-US" altLang="zh-CN" sz="800">
              <a:solidFill>
                <a:schemeClr val="tx1"/>
              </a:solidFill>
            </a:rPr>
            <a:t>%</a:t>
          </a:r>
          <a:endParaRPr lang="zh-CN" sz="800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12</Pages>
  <Words>766</Words>
  <Characters>4372</Characters>
  <Lines>36</Lines>
  <Paragraphs>10</Paragraphs>
  <TotalTime>974</TotalTime>
  <ScaleCrop>false</ScaleCrop>
  <LinksUpToDate>false</LinksUpToDate>
  <CharactersWithSpaces>5128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2023-01-16T11:12:00Z</dcterms:created>
  <dc:creator>Administrator</dc:creator>
  <cp:lastModifiedBy>user</cp:lastModifiedBy>
  <cp:lastPrinted>2023-01-31T08:43:00Z</cp:lastPrinted>
  <dcterms:modified xsi:type="dcterms:W3CDTF">2023-01-31T11:39:36Z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